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C5138D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77777777" w:rsidR="003C0BEB" w:rsidRPr="00F5561D" w:rsidRDefault="00C5138D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3/2021-E, de 09/06/2021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“Altera a Lei Complementar n.º 23, de 22 de dezembro de 2003”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59545AB1" w:rsidR="003C0BEB" w:rsidRPr="00F5561D" w:rsidRDefault="00C5138D" w:rsidP="00F5561D">
      <w:pPr>
        <w:pStyle w:val="Recuodecorpodetexto2"/>
        <w:ind w:right="51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>O</w:t>
      </w:r>
      <w:r w:rsidR="00C94214">
        <w:rPr>
          <w:rFonts w:ascii="Tahoma" w:hAnsi="Tahoma" w:cs="Tahoma"/>
        </w:rPr>
        <w:t xml:space="preserve">s Artigos 2º, 3º e 4º, </w:t>
      </w:r>
      <w:r w:rsidRPr="00F5561D">
        <w:rPr>
          <w:rFonts w:ascii="Tahoma" w:hAnsi="Tahoma" w:cs="Tahoma"/>
        </w:rPr>
        <w:t>do Projeto de Lei Complementar Nº 3/2021-E, de 09/06/2021, que “Altera a Lei Complementar n.º 23, de 22 de dezembro de 2003, passa</w:t>
      </w:r>
      <w:r w:rsidR="00C94214">
        <w:rPr>
          <w:rFonts w:ascii="Tahoma" w:hAnsi="Tahoma" w:cs="Tahoma"/>
        </w:rPr>
        <w:t>m</w:t>
      </w:r>
      <w:r w:rsidRPr="00F5561D">
        <w:rPr>
          <w:rFonts w:ascii="Tahoma" w:hAnsi="Tahoma" w:cs="Tahoma"/>
        </w:rPr>
        <w:t xml:space="preserve"> a ter a seguinte redação:</w:t>
      </w:r>
    </w:p>
    <w:p w14:paraId="273046D3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772FF538" w14:textId="1741CDAC" w:rsidR="00C94214" w:rsidRP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b/>
          <w:bCs/>
          <w:i/>
          <w:iCs/>
        </w:rPr>
        <w:t>Art. 2º</w:t>
      </w:r>
      <w:r w:rsidRPr="00C94214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O i</w:t>
      </w:r>
      <w:r w:rsidRPr="00C94214">
        <w:rPr>
          <w:rFonts w:ascii="Tahoma" w:hAnsi="Tahoma" w:cs="Tahoma"/>
          <w:i/>
          <w:iCs/>
        </w:rPr>
        <w:t>nciso I, do art.10, da Lei Complementar n.º 23, de 22 de dezembro de 2003, passa a viger com a seguinte redação:</w:t>
      </w:r>
    </w:p>
    <w:p w14:paraId="60C5892E" w14:textId="77777777" w:rsidR="00C94214" w:rsidRDefault="00C94214" w:rsidP="00C94214">
      <w:pPr>
        <w:pStyle w:val="Recuodecorpodetexto2"/>
        <w:ind w:left="284" w:right="284"/>
        <w:rPr>
          <w:rFonts w:ascii="Tahoma" w:hAnsi="Tahoma" w:cs="Tahoma"/>
          <w:i/>
          <w:iCs/>
        </w:rPr>
      </w:pPr>
    </w:p>
    <w:p w14:paraId="05DF6A58" w14:textId="1428154B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>“Art. 10. (...)</w:t>
      </w:r>
    </w:p>
    <w:p w14:paraId="6AC31FE7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I - </w:t>
      </w:r>
      <w:proofErr w:type="gramStart"/>
      <w:r w:rsidRPr="00C94214">
        <w:rPr>
          <w:rFonts w:ascii="Tahoma" w:hAnsi="Tahoma" w:cs="Tahoma"/>
          <w:i/>
          <w:iCs/>
        </w:rPr>
        <w:t>nas</w:t>
      </w:r>
      <w:proofErr w:type="gramEnd"/>
      <w:r w:rsidRPr="00C94214">
        <w:rPr>
          <w:rFonts w:ascii="Tahoma" w:hAnsi="Tahoma" w:cs="Tahoma"/>
          <w:i/>
          <w:iCs/>
        </w:rPr>
        <w:t xml:space="preserve"> transmissões compreendidas no Sistema Financeiro de Habitação - SFH; </w:t>
      </w:r>
    </w:p>
    <w:p w14:paraId="55976461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a) à razão de 0,5% (meio por cento) sobre o valor efetivamente financeiro, até o limite de 1110 (mil cento e dez) Unidades de Valor Fiscal do Município de São Roque - UFM; </w:t>
      </w:r>
    </w:p>
    <w:p w14:paraId="2BF2AEC3" w14:textId="77777777" w:rsidR="00C94214" w:rsidRPr="00C94214" w:rsidRDefault="00C94214" w:rsidP="00C94214">
      <w:pPr>
        <w:pStyle w:val="Recuodecorpodetexto2"/>
        <w:ind w:left="567" w:right="567"/>
        <w:rPr>
          <w:rFonts w:ascii="Tahoma" w:hAnsi="Tahoma" w:cs="Tahoma"/>
          <w:i/>
          <w:iCs/>
        </w:rPr>
      </w:pPr>
    </w:p>
    <w:p w14:paraId="18273A4C" w14:textId="6A609D72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b) pela aplicação da alíquota de 2,5% (dois por cento), sobre o valor efetivamente financeiro, </w:t>
      </w:r>
      <w:r w:rsidR="00162F6B">
        <w:rPr>
          <w:rFonts w:ascii="Tahoma" w:hAnsi="Tahoma" w:cs="Tahoma"/>
          <w:i/>
          <w:iCs/>
        </w:rPr>
        <w:t xml:space="preserve">pelo valor superior a 1110 (mil cento e dez), </w:t>
      </w:r>
      <w:r w:rsidRPr="00C94214">
        <w:rPr>
          <w:rFonts w:ascii="Tahoma" w:hAnsi="Tahoma" w:cs="Tahoma"/>
          <w:i/>
          <w:iCs/>
        </w:rPr>
        <w:t xml:space="preserve">até o limite de 1780 (mil setecentos e oitenta) Unidades de Valor Fiscal do Município de São Roque - UFM; </w:t>
      </w:r>
    </w:p>
    <w:p w14:paraId="33F425B7" w14:textId="77777777" w:rsidR="00C94214" w:rsidRPr="00C94214" w:rsidRDefault="00C94214" w:rsidP="00C94214">
      <w:pPr>
        <w:pStyle w:val="Recuodecorpodetexto2"/>
        <w:ind w:left="567" w:right="567"/>
        <w:rPr>
          <w:rFonts w:ascii="Tahoma" w:hAnsi="Tahoma" w:cs="Tahoma"/>
          <w:i/>
          <w:iCs/>
        </w:rPr>
      </w:pPr>
    </w:p>
    <w:p w14:paraId="776401B3" w14:textId="714EE7A9" w:rsid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c) pela aplicação da alíquota de 3,0% (três por cento) sobre o valor </w:t>
      </w:r>
      <w:r w:rsidR="00162F6B" w:rsidRPr="00162F6B">
        <w:rPr>
          <w:rFonts w:ascii="Tahoma" w:hAnsi="Tahoma" w:cs="Tahoma"/>
          <w:i/>
          <w:iCs/>
        </w:rPr>
        <w:t xml:space="preserve">efetivamente financeiro, </w:t>
      </w:r>
      <w:r w:rsidR="00162F6B">
        <w:rPr>
          <w:rFonts w:ascii="Tahoma" w:hAnsi="Tahoma" w:cs="Tahoma"/>
          <w:i/>
          <w:iCs/>
        </w:rPr>
        <w:t xml:space="preserve">superior a </w:t>
      </w:r>
      <w:r w:rsidR="00162F6B" w:rsidRPr="00162F6B">
        <w:rPr>
          <w:rFonts w:ascii="Tahoma" w:hAnsi="Tahoma" w:cs="Tahoma"/>
          <w:i/>
          <w:iCs/>
        </w:rPr>
        <w:t>1780 (mil setecentos e oitenta) Unidades de Valor Fiscal do Município de São Roque - UFM</w:t>
      </w:r>
      <w:r w:rsidRPr="00C94214">
        <w:rPr>
          <w:rFonts w:ascii="Tahoma" w:hAnsi="Tahoma" w:cs="Tahoma"/>
          <w:i/>
          <w:iCs/>
        </w:rPr>
        <w:t>.</w:t>
      </w:r>
    </w:p>
    <w:p w14:paraId="34322CF8" w14:textId="77777777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</w:p>
    <w:p w14:paraId="273C727A" w14:textId="77777777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</w:p>
    <w:p w14:paraId="7E9E0E33" w14:textId="58787B0D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b/>
          <w:bCs/>
          <w:i/>
          <w:iCs/>
        </w:rPr>
        <w:t>Art. 3º</w:t>
      </w:r>
      <w:r w:rsidRPr="00C94214">
        <w:rPr>
          <w:rFonts w:ascii="Tahoma" w:hAnsi="Tahoma" w:cs="Tahoma"/>
          <w:i/>
          <w:iCs/>
        </w:rPr>
        <w:t xml:space="preserve"> O inciso II do art.10, da Lei Complementar n.º 23, de 22 de dezembro de 2003, passa a viger com a seguinte redação:</w:t>
      </w:r>
    </w:p>
    <w:p w14:paraId="211599AF" w14:textId="77777777" w:rsidR="00C94214" w:rsidRP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</w:p>
    <w:p w14:paraId="1093B1E4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>“Art. 10. (...)</w:t>
      </w:r>
    </w:p>
    <w:p w14:paraId="7FF5FBE1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II - </w:t>
      </w:r>
      <w:proofErr w:type="gramStart"/>
      <w:r w:rsidRPr="00C94214">
        <w:rPr>
          <w:rFonts w:ascii="Tahoma" w:hAnsi="Tahoma" w:cs="Tahoma"/>
          <w:i/>
          <w:iCs/>
        </w:rPr>
        <w:t>nas</w:t>
      </w:r>
      <w:proofErr w:type="gramEnd"/>
      <w:r w:rsidRPr="00C94214">
        <w:rPr>
          <w:rFonts w:ascii="Tahoma" w:hAnsi="Tahoma" w:cs="Tahoma"/>
          <w:i/>
          <w:iCs/>
        </w:rPr>
        <w:t xml:space="preserve"> demais transmissões:</w:t>
      </w:r>
    </w:p>
    <w:p w14:paraId="1ACCEA64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</w:p>
    <w:p w14:paraId="4248B759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t xml:space="preserve">a) pela aplicação da alíquota de 2,5% (dois por cento), sobre o valor efetivamente financeiro, até o limite de 1780 (mil setecentos e oitenta) Unidades de Valor Fiscal do Município de São Roque - UFM; </w:t>
      </w:r>
    </w:p>
    <w:p w14:paraId="7AAEB3EF" w14:textId="77777777" w:rsidR="00C94214" w:rsidRPr="00C94214" w:rsidRDefault="00C94214" w:rsidP="00C94214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</w:p>
    <w:p w14:paraId="54408465" w14:textId="48CEA789" w:rsidR="00C94214" w:rsidRDefault="00C94214" w:rsidP="00162F6B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i/>
          <w:iCs/>
        </w:rPr>
        <w:lastRenderedPageBreak/>
        <w:t xml:space="preserve">b) pela aplicação da alíquota de 3,0% (três por cento) </w:t>
      </w:r>
      <w:r w:rsidR="00162F6B" w:rsidRPr="00C94214">
        <w:rPr>
          <w:rFonts w:ascii="Tahoma" w:hAnsi="Tahoma" w:cs="Tahoma"/>
          <w:i/>
          <w:iCs/>
        </w:rPr>
        <w:t xml:space="preserve">sobre o valor </w:t>
      </w:r>
      <w:r w:rsidR="00162F6B" w:rsidRPr="00162F6B">
        <w:rPr>
          <w:rFonts w:ascii="Tahoma" w:hAnsi="Tahoma" w:cs="Tahoma"/>
          <w:i/>
          <w:iCs/>
        </w:rPr>
        <w:t xml:space="preserve">efetivamente financeiro, </w:t>
      </w:r>
      <w:r w:rsidR="00162F6B">
        <w:rPr>
          <w:rFonts w:ascii="Tahoma" w:hAnsi="Tahoma" w:cs="Tahoma"/>
          <w:i/>
          <w:iCs/>
        </w:rPr>
        <w:t xml:space="preserve">superior a </w:t>
      </w:r>
      <w:r w:rsidR="00162F6B" w:rsidRPr="00162F6B">
        <w:rPr>
          <w:rFonts w:ascii="Tahoma" w:hAnsi="Tahoma" w:cs="Tahoma"/>
          <w:i/>
          <w:iCs/>
        </w:rPr>
        <w:t>1780 (mil setecentos e oitenta) Unidades de Valor Fiscal do Município de São Roque - UFM</w:t>
      </w:r>
      <w:r w:rsidR="00162F6B" w:rsidRPr="00C94214">
        <w:rPr>
          <w:rFonts w:ascii="Tahoma" w:hAnsi="Tahoma" w:cs="Tahoma"/>
          <w:i/>
          <w:iCs/>
        </w:rPr>
        <w:t>.</w:t>
      </w:r>
      <w:r w:rsidR="00162F6B">
        <w:rPr>
          <w:rFonts w:ascii="Tahoma" w:hAnsi="Tahoma" w:cs="Tahoma"/>
          <w:i/>
          <w:iCs/>
        </w:rPr>
        <w:t>”</w:t>
      </w:r>
    </w:p>
    <w:p w14:paraId="3AFE01F8" w14:textId="77777777" w:rsidR="00162F6B" w:rsidRDefault="00162F6B" w:rsidP="00162F6B">
      <w:pPr>
        <w:pStyle w:val="Recuodecorpodetexto2"/>
        <w:ind w:left="567" w:right="567" w:firstLine="0"/>
        <w:rPr>
          <w:rFonts w:ascii="Tahoma" w:hAnsi="Tahoma" w:cs="Tahoma"/>
          <w:i/>
          <w:iCs/>
        </w:rPr>
      </w:pPr>
    </w:p>
    <w:p w14:paraId="65F4E530" w14:textId="11F06AD4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  <w:r w:rsidRPr="00C94214">
        <w:rPr>
          <w:rFonts w:ascii="Tahoma" w:hAnsi="Tahoma" w:cs="Tahoma"/>
          <w:b/>
          <w:bCs/>
          <w:i/>
          <w:iCs/>
        </w:rPr>
        <w:t>Art. 4º</w:t>
      </w:r>
      <w:r w:rsidRPr="00C94214">
        <w:rPr>
          <w:rFonts w:ascii="Tahoma" w:hAnsi="Tahoma" w:cs="Tahoma"/>
          <w:i/>
          <w:iCs/>
        </w:rPr>
        <w:t xml:space="preserve"> Esta Lei entrará em vigor na data de sua publicação, </w:t>
      </w:r>
      <w:r>
        <w:rPr>
          <w:rFonts w:ascii="Tahoma" w:hAnsi="Tahoma" w:cs="Tahoma"/>
          <w:i/>
          <w:iCs/>
        </w:rPr>
        <w:t xml:space="preserve">produzindo efeitos a partir de 1º de </w:t>
      </w:r>
      <w:proofErr w:type="gramStart"/>
      <w:r>
        <w:rPr>
          <w:rFonts w:ascii="Tahoma" w:hAnsi="Tahoma" w:cs="Tahoma"/>
          <w:i/>
          <w:iCs/>
        </w:rPr>
        <w:t>Janeiro</w:t>
      </w:r>
      <w:proofErr w:type="gramEnd"/>
      <w:r>
        <w:rPr>
          <w:rFonts w:ascii="Tahoma" w:hAnsi="Tahoma" w:cs="Tahoma"/>
          <w:i/>
          <w:iCs/>
        </w:rPr>
        <w:t xml:space="preserve"> de 2022, </w:t>
      </w:r>
      <w:r w:rsidRPr="00C94214">
        <w:rPr>
          <w:rFonts w:ascii="Tahoma" w:hAnsi="Tahoma" w:cs="Tahoma"/>
          <w:i/>
          <w:iCs/>
        </w:rPr>
        <w:t xml:space="preserve">revogando as disposições em contrário. </w:t>
      </w:r>
    </w:p>
    <w:p w14:paraId="20C1BCD0" w14:textId="77777777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</w:p>
    <w:p w14:paraId="01B8E808" w14:textId="77777777" w:rsidR="00C94214" w:rsidRDefault="00C94214" w:rsidP="00C94214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C5138D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0D2209C3" w:rsidR="003C0BEB" w:rsidRDefault="00FB3CD1" w:rsidP="00F5561D">
      <w:pPr>
        <w:pStyle w:val="Textoembloco"/>
        <w:ind w:left="0" w:firstLine="3402"/>
        <w:rPr>
          <w:rFonts w:ascii="Tahoma" w:hAnsi="Tahoma" w:cs="Tahoma"/>
        </w:rPr>
      </w:pPr>
      <w:r>
        <w:rPr>
          <w:rFonts w:ascii="Tahoma" w:hAnsi="Tahoma" w:cs="Tahoma"/>
        </w:rPr>
        <w:t xml:space="preserve">Pela presente emenda as alíquotas de 3,0% (três por cento) previstas na proposta original, passam a ser escalonadas até atingir o limite de três por cento, para transmissões em valores superiores 1780 </w:t>
      </w:r>
      <w:proofErr w:type="spellStart"/>
      <w:r>
        <w:rPr>
          <w:rFonts w:ascii="Tahoma" w:hAnsi="Tahoma" w:cs="Tahoma"/>
        </w:rPr>
        <w:t>UFMs</w:t>
      </w:r>
      <w:proofErr w:type="spellEnd"/>
      <w:r>
        <w:rPr>
          <w:rFonts w:ascii="Tahoma" w:hAnsi="Tahoma" w:cs="Tahoma"/>
        </w:rPr>
        <w:t xml:space="preserve"> (mil, setecentos e oitenta unidades de valor fiscal do munícipio). Essas modificações são contempladas nos artigos 2º e 3º do Projeto.</w:t>
      </w:r>
    </w:p>
    <w:p w14:paraId="3372ABDB" w14:textId="1AE53A5C" w:rsidR="00FB3CD1" w:rsidRPr="00F5561D" w:rsidRDefault="00FB3CD1" w:rsidP="00F5561D">
      <w:pPr>
        <w:pStyle w:val="Textoembloco"/>
        <w:ind w:left="0" w:firstLine="3402"/>
        <w:rPr>
          <w:rFonts w:ascii="Tahoma" w:hAnsi="Tahoma" w:cs="Tahoma"/>
        </w:rPr>
      </w:pPr>
      <w:r>
        <w:rPr>
          <w:rFonts w:ascii="Tahoma" w:hAnsi="Tahoma" w:cs="Tahoma"/>
        </w:rPr>
        <w:t>Há ainda duas pequenas modificações no Artigo 4º</w:t>
      </w:r>
      <w:r w:rsidR="00D504D0">
        <w:rPr>
          <w:rFonts w:ascii="Tahoma" w:hAnsi="Tahoma" w:cs="Tahoma"/>
        </w:rPr>
        <w:t>. A primeira, uma simples correção de digitação, vez que erroneamente constava novamente como Artigo 3º. Já a segunda ao fixar expressamente o “</w:t>
      </w:r>
      <w:proofErr w:type="spellStart"/>
      <w:r w:rsidR="00D504D0">
        <w:rPr>
          <w:rFonts w:ascii="Tahoma" w:hAnsi="Tahoma" w:cs="Tahoma"/>
        </w:rPr>
        <w:t>vacatio</w:t>
      </w:r>
      <w:proofErr w:type="spellEnd"/>
      <w:r w:rsidR="00D504D0">
        <w:rPr>
          <w:rFonts w:ascii="Tahoma" w:hAnsi="Tahoma" w:cs="Tahoma"/>
        </w:rPr>
        <w:t xml:space="preserve"> legis” para o início do exercício financeiro de 2022.</w:t>
      </w: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C5138D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15 de junho de 2021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6ECF4851" w14:textId="55E34B87" w:rsidR="00A32D51" w:rsidRDefault="00A32D51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0BD566D8" w14:textId="77777777" w:rsidR="00183BC6" w:rsidRDefault="00183BC6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XSpec="center" w:tblpY="408"/>
        <w:tblW w:w="10180" w:type="dxa"/>
        <w:tblLook w:val="04A0" w:firstRow="1" w:lastRow="0" w:firstColumn="1" w:lastColumn="0" w:noHBand="0" w:noVBand="1"/>
      </w:tblPr>
      <w:tblGrid>
        <w:gridCol w:w="5211"/>
        <w:gridCol w:w="4969"/>
      </w:tblGrid>
      <w:tr w:rsidR="00A32D51" w:rsidRPr="00C5138D" w14:paraId="5E1E9379" w14:textId="77777777" w:rsidTr="00F72FE2">
        <w:trPr>
          <w:trHeight w:val="509"/>
        </w:trPr>
        <w:tc>
          <w:tcPr>
            <w:tcW w:w="5211" w:type="dxa"/>
            <w:shd w:val="clear" w:color="auto" w:fill="auto"/>
          </w:tcPr>
          <w:p w14:paraId="57D12863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ANTONIO JOSÉ ALVES MIRANDA</w:t>
            </w:r>
          </w:p>
          <w:p w14:paraId="0E074897" w14:textId="77777777" w:rsidR="00A32D51" w:rsidRP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Pr="00A32D51">
              <w:rPr>
                <w:rFonts w:ascii="Tahoma" w:hAnsi="Tahoma" w:cs="Tahoma"/>
                <w:b/>
                <w:bCs/>
                <w:sz w:val="24"/>
                <w:szCs w:val="24"/>
              </w:rPr>
              <w:t>TONINHO BARBA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  <w:p w14:paraId="48788E8A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54011B20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14:paraId="497A700B" w14:textId="77777777" w:rsidR="00A32D51" w:rsidRP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32D51">
              <w:rPr>
                <w:rFonts w:ascii="Tahoma" w:hAnsi="Tahoma" w:cs="Tahoma"/>
                <w:b/>
                <w:bCs/>
                <w:sz w:val="24"/>
                <w:szCs w:val="24"/>
              </w:rPr>
              <w:t>CLÁUDIA RITA DUARTE PEDROSO</w:t>
            </w:r>
          </w:p>
          <w:p w14:paraId="79293288" w14:textId="77777777" w:rsidR="00A32D51" w:rsidRP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Pr="00A32D51">
              <w:rPr>
                <w:rFonts w:ascii="Tahoma" w:hAnsi="Tahoma" w:cs="Tahoma"/>
                <w:b/>
                <w:bCs/>
                <w:sz w:val="24"/>
                <w:szCs w:val="24"/>
              </w:rPr>
              <w:t>DRA. CLÁUDIA PEDROSO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  <w:p w14:paraId="3C8471C2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Vereadora</w:t>
            </w:r>
          </w:p>
          <w:p w14:paraId="400CFE1C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7D61D2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2D51" w:rsidRPr="00C5138D" w14:paraId="2E8BBBEB" w14:textId="77777777" w:rsidTr="00F72FE2">
        <w:trPr>
          <w:trHeight w:val="518"/>
        </w:trPr>
        <w:tc>
          <w:tcPr>
            <w:tcW w:w="5211" w:type="dxa"/>
            <w:shd w:val="clear" w:color="auto" w:fill="auto"/>
          </w:tcPr>
          <w:p w14:paraId="560C6F28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DIEGO GOUVEIA DA COSTA</w:t>
            </w:r>
          </w:p>
          <w:p w14:paraId="36114872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DIEGO COSTA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  <w:p w14:paraId="5014FB01" w14:textId="77777777" w:rsidR="00A32D51" w:rsidRP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32D51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4FEE3B0A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14:paraId="015BDB22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GUILHERME ARAUJO NUNES</w:t>
            </w:r>
          </w:p>
          <w:p w14:paraId="3BF25B6D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(GUILHERME NUNES)</w:t>
            </w:r>
          </w:p>
          <w:p w14:paraId="5BAA47A7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  <w:tr w:rsidR="00A32D51" w:rsidRPr="00C5138D" w14:paraId="75442F44" w14:textId="77777777" w:rsidTr="00F72FE2">
        <w:trPr>
          <w:trHeight w:val="509"/>
        </w:trPr>
        <w:tc>
          <w:tcPr>
            <w:tcW w:w="5211" w:type="dxa"/>
            <w:shd w:val="clear" w:color="auto" w:fill="auto"/>
          </w:tcPr>
          <w:p w14:paraId="41B4EF94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ISRAEL FRANCISCO DE OLIVEIRA</w:t>
            </w:r>
          </w:p>
          <w:p w14:paraId="5557C600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Pr="00C5138D">
              <w:rPr>
                <w:rFonts w:ascii="Tahoma" w:hAnsi="Tahoma" w:cs="Tahoma"/>
                <w:b/>
                <w:bCs/>
                <w:sz w:val="24"/>
                <w:szCs w:val="24"/>
              </w:rPr>
              <w:t>TOCO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  <w:p w14:paraId="2353C18C" w14:textId="77777777" w:rsidR="00A32D51" w:rsidRP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32D51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5F34DFA4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A7470DF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14:paraId="301AC9C5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839">
              <w:rPr>
                <w:rFonts w:ascii="Tahoma" w:hAnsi="Tahoma" w:cs="Tahoma"/>
                <w:b/>
                <w:bCs/>
                <w:sz w:val="24"/>
                <w:szCs w:val="24"/>
              </w:rPr>
              <w:t>JULIO ANTONIO MARIANO</w:t>
            </w:r>
          </w:p>
          <w:p w14:paraId="0EBB4B3C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(JULIO MARIANO)</w:t>
            </w:r>
          </w:p>
          <w:p w14:paraId="4241E6E8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  <w:tr w:rsidR="00A32D51" w:rsidRPr="00C5138D" w14:paraId="303ED3C8" w14:textId="77777777" w:rsidTr="00F72FE2">
        <w:trPr>
          <w:trHeight w:val="518"/>
        </w:trPr>
        <w:tc>
          <w:tcPr>
            <w:tcW w:w="5211" w:type="dxa"/>
            <w:shd w:val="clear" w:color="auto" w:fill="auto"/>
          </w:tcPr>
          <w:p w14:paraId="53D62D80" w14:textId="7A3D8841" w:rsidR="00A32D51" w:rsidRDefault="00183BC6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A32D51" w:rsidRPr="003F7839">
              <w:rPr>
                <w:rFonts w:ascii="Tahoma" w:hAnsi="Tahoma" w:cs="Tahoma"/>
                <w:b/>
                <w:bCs/>
                <w:sz w:val="24"/>
                <w:szCs w:val="24"/>
              </w:rPr>
              <w:t>PAULO ROGÉRIO NOGGERINI JÚNIOR</w:t>
            </w:r>
          </w:p>
          <w:p w14:paraId="5A9C739F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(PAULO JUVENTUDE)</w:t>
            </w:r>
          </w:p>
          <w:p w14:paraId="3F0C78B9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  <w:p w14:paraId="5C802281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AB88BC6" w14:textId="5729A0C9" w:rsidR="00A32D51" w:rsidRPr="00C5138D" w:rsidRDefault="00183BC6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Continuação das Assinaturas à Emenda n°1 ao Projeto de Lei complementar nº 3/2021</w:t>
            </w:r>
          </w:p>
        </w:tc>
        <w:tc>
          <w:tcPr>
            <w:tcW w:w="4969" w:type="dxa"/>
            <w:shd w:val="clear" w:color="auto" w:fill="auto"/>
          </w:tcPr>
          <w:p w14:paraId="54D70DC2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839">
              <w:rPr>
                <w:rFonts w:ascii="Tahoma" w:hAnsi="Tahoma" w:cs="Tahoma"/>
                <w:b/>
                <w:bCs/>
                <w:sz w:val="24"/>
                <w:szCs w:val="24"/>
              </w:rPr>
              <w:t>RAFAEL TANZI DE ARAÚJO</w:t>
            </w:r>
          </w:p>
          <w:p w14:paraId="5937BBB8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(RAFAEL TANZI)</w:t>
            </w:r>
          </w:p>
          <w:p w14:paraId="4A295F6E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  <w:tr w:rsidR="00A32D51" w:rsidRPr="00C5138D" w14:paraId="16DFB1C3" w14:textId="77777777" w:rsidTr="00F72FE2">
        <w:trPr>
          <w:trHeight w:val="509"/>
        </w:trPr>
        <w:tc>
          <w:tcPr>
            <w:tcW w:w="5211" w:type="dxa"/>
            <w:shd w:val="clear" w:color="auto" w:fill="auto"/>
          </w:tcPr>
          <w:p w14:paraId="754F6ACE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2C16829" w14:textId="416B6072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45E6F5F" w14:textId="77777777" w:rsidR="00183BC6" w:rsidRDefault="00183BC6" w:rsidP="00183BC6">
            <w:pPr>
              <w:ind w:right="51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0C5A22B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839">
              <w:rPr>
                <w:rFonts w:ascii="Tahoma" w:hAnsi="Tahoma" w:cs="Tahoma"/>
                <w:b/>
                <w:bCs/>
                <w:sz w:val="24"/>
                <w:szCs w:val="24"/>
              </w:rPr>
              <w:t>THIAGO VIEIRA NUNES</w:t>
            </w:r>
          </w:p>
          <w:p w14:paraId="48EB2B15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(THIAGO NUNES)</w:t>
            </w:r>
          </w:p>
          <w:p w14:paraId="00E09ED9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  <w:tc>
          <w:tcPr>
            <w:tcW w:w="4969" w:type="dxa"/>
            <w:shd w:val="clear" w:color="auto" w:fill="auto"/>
          </w:tcPr>
          <w:p w14:paraId="443A929E" w14:textId="505257B9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FC26DB" w14:textId="77777777" w:rsidR="00183BC6" w:rsidRDefault="00183BC6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617A28D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3C3B06C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839">
              <w:rPr>
                <w:rFonts w:ascii="Tahoma" w:hAnsi="Tahoma" w:cs="Tahoma"/>
                <w:b/>
                <w:bCs/>
                <w:sz w:val="24"/>
                <w:szCs w:val="24"/>
              </w:rPr>
              <w:t>WILLIAM DA SILVA ALBUQUERQUE</w:t>
            </w:r>
          </w:p>
          <w:p w14:paraId="2553F7BA" w14:textId="77777777" w:rsidR="00A32D51" w:rsidRDefault="00A32D51" w:rsidP="00183BC6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(WILLIAM ALBUQUERQUE)</w:t>
            </w:r>
          </w:p>
          <w:p w14:paraId="215361E7" w14:textId="77777777" w:rsidR="00A32D51" w:rsidRPr="00C5138D" w:rsidRDefault="00A32D51" w:rsidP="00183BC6">
            <w:pPr>
              <w:ind w:right="5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138D"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</w:tbl>
    <w:p w14:paraId="48A4E40C" w14:textId="490A47F9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7777777" w:rsidR="003C0BEB" w:rsidRDefault="00C5138D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15/06/2021 - 13:20 6844/2021</w:t>
      </w:r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CD7F" w14:textId="77777777" w:rsidR="003D7329" w:rsidRDefault="003D7329">
      <w:r>
        <w:separator/>
      </w:r>
    </w:p>
  </w:endnote>
  <w:endnote w:type="continuationSeparator" w:id="0">
    <w:p w14:paraId="2D95BD87" w14:textId="77777777" w:rsidR="003D7329" w:rsidRDefault="003D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8F6A" w14:textId="77777777" w:rsidR="003D7329" w:rsidRDefault="003D7329">
      <w:r>
        <w:separator/>
      </w:r>
    </w:p>
  </w:footnote>
  <w:footnote w:type="continuationSeparator" w:id="0">
    <w:p w14:paraId="63317CD0" w14:textId="77777777" w:rsidR="003D7329" w:rsidRDefault="003D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3D7329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FBD6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C5138D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C5138D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C5138D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C5138D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C5138D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A3CBA"/>
    <w:rsid w:val="00162F6B"/>
    <w:rsid w:val="00183BC6"/>
    <w:rsid w:val="001915A3"/>
    <w:rsid w:val="001D7A45"/>
    <w:rsid w:val="00217F62"/>
    <w:rsid w:val="00246874"/>
    <w:rsid w:val="003B6B35"/>
    <w:rsid w:val="003C0BEB"/>
    <w:rsid w:val="003C1AD9"/>
    <w:rsid w:val="003D7329"/>
    <w:rsid w:val="003F7839"/>
    <w:rsid w:val="005124FA"/>
    <w:rsid w:val="00601291"/>
    <w:rsid w:val="00845028"/>
    <w:rsid w:val="008A401A"/>
    <w:rsid w:val="00994111"/>
    <w:rsid w:val="00A32D51"/>
    <w:rsid w:val="00A906D8"/>
    <w:rsid w:val="00AA2648"/>
    <w:rsid w:val="00AB5A74"/>
    <w:rsid w:val="00B32220"/>
    <w:rsid w:val="00BE0796"/>
    <w:rsid w:val="00C5138D"/>
    <w:rsid w:val="00C760EE"/>
    <w:rsid w:val="00C94214"/>
    <w:rsid w:val="00D10CB7"/>
    <w:rsid w:val="00D21CF4"/>
    <w:rsid w:val="00D504D0"/>
    <w:rsid w:val="00E12932"/>
    <w:rsid w:val="00F071AE"/>
    <w:rsid w:val="00F5561D"/>
    <w:rsid w:val="00F72FE2"/>
    <w:rsid w:val="00FB3CD1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B1A090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3C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20</cp:revision>
  <dcterms:created xsi:type="dcterms:W3CDTF">2018-08-13T18:53:00Z</dcterms:created>
  <dcterms:modified xsi:type="dcterms:W3CDTF">2021-06-16T18:19:00Z</dcterms:modified>
</cp:coreProperties>
</file>