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8420" w14:textId="77777777" w:rsidR="007921E9" w:rsidRPr="00005F9B" w:rsidRDefault="00FD4EC6" w:rsidP="00005F9B">
      <w:pPr>
        <w:pStyle w:val="Ttulo1"/>
        <w:spacing w:before="0"/>
        <w:ind w:right="51" w:firstLine="3402"/>
        <w:rPr>
          <w:rFonts w:ascii="Tahoma" w:hAnsi="Tahoma" w:cs="Tahoma"/>
          <w:color w:val="auto"/>
          <w:sz w:val="22"/>
          <w:szCs w:val="22"/>
        </w:rPr>
      </w:pPr>
      <w:r w:rsidRPr="00005F9B">
        <w:rPr>
          <w:rFonts w:ascii="Tahoma" w:hAnsi="Tahoma" w:cs="Tahoma"/>
          <w:color w:val="auto"/>
          <w:sz w:val="22"/>
          <w:szCs w:val="22"/>
        </w:rPr>
        <w:t>EMENDA Nº 1</w:t>
      </w:r>
    </w:p>
    <w:p w14:paraId="1C20AAA0" w14:textId="77777777" w:rsidR="007921E9" w:rsidRPr="00005F9B" w:rsidRDefault="007921E9" w:rsidP="00005F9B">
      <w:pPr>
        <w:ind w:right="51" w:firstLine="3402"/>
        <w:jc w:val="both"/>
        <w:rPr>
          <w:rFonts w:ascii="Tahoma" w:hAnsi="Tahoma" w:cs="Tahoma"/>
        </w:rPr>
      </w:pPr>
    </w:p>
    <w:p w14:paraId="2C3E7E4A" w14:textId="77777777" w:rsidR="007921E9" w:rsidRPr="00005F9B" w:rsidRDefault="00FD4EC6" w:rsidP="00005F9B">
      <w:pPr>
        <w:pStyle w:val="Recuodecorpodetexto2"/>
        <w:ind w:left="3420" w:right="51" w:hanging="18"/>
        <w:rPr>
          <w:rFonts w:ascii="Tahoma" w:hAnsi="Tahoma" w:cs="Tahoma"/>
          <w:sz w:val="22"/>
          <w:szCs w:val="22"/>
        </w:rPr>
      </w:pPr>
      <w:r w:rsidRPr="00005F9B">
        <w:rPr>
          <w:rFonts w:ascii="Tahoma" w:hAnsi="Tahoma" w:cs="Tahoma"/>
          <w:sz w:val="22"/>
          <w:szCs w:val="22"/>
        </w:rPr>
        <w:t xml:space="preserve">Aditiva ao </w:t>
      </w:r>
      <w:r w:rsidRPr="00005F9B">
        <w:rPr>
          <w:rFonts w:ascii="Tahoma" w:hAnsi="Tahoma" w:cs="Tahoma"/>
          <w:b/>
          <w:bCs/>
          <w:sz w:val="22"/>
          <w:szCs w:val="22"/>
        </w:rPr>
        <w:t xml:space="preserve">Projeto de Lei nº </w:t>
      </w:r>
      <w:r w:rsidRPr="00B24108">
        <w:rPr>
          <w:rFonts w:ascii="Tahoma" w:hAnsi="Tahoma" w:cs="Tahoma"/>
          <w:b/>
          <w:bCs/>
          <w:sz w:val="22"/>
          <w:szCs w:val="22"/>
        </w:rPr>
        <w:t>106</w:t>
      </w:r>
      <w:r w:rsidRPr="00005F9B">
        <w:rPr>
          <w:rFonts w:ascii="Tahoma" w:hAnsi="Tahoma" w:cs="Tahoma"/>
          <w:b/>
          <w:bCs/>
          <w:sz w:val="22"/>
          <w:szCs w:val="22"/>
        </w:rPr>
        <w:t>-E,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005F9B">
        <w:rPr>
          <w:rFonts w:ascii="Tahoma" w:hAnsi="Tahoma" w:cs="Tahoma"/>
          <w:sz w:val="22"/>
          <w:szCs w:val="22"/>
        </w:rPr>
        <w:t xml:space="preserve">de </w:t>
      </w:r>
      <w:r w:rsidRPr="00C52EA5">
        <w:rPr>
          <w:rFonts w:ascii="Tahoma" w:hAnsi="Tahoma" w:cs="Tahoma"/>
          <w:b/>
          <w:bCs/>
          <w:sz w:val="22"/>
          <w:szCs w:val="22"/>
        </w:rPr>
        <w:t>30/09/2021</w:t>
      </w:r>
      <w:r w:rsidRPr="00005F9B">
        <w:rPr>
          <w:rFonts w:ascii="Tahoma" w:hAnsi="Tahoma" w:cs="Tahoma"/>
          <w:sz w:val="22"/>
          <w:szCs w:val="22"/>
        </w:rPr>
        <w:t>, que “</w:t>
      </w:r>
      <w:r w:rsidRPr="00C52EA5">
        <w:rPr>
          <w:rFonts w:ascii="Tahoma" w:hAnsi="Tahoma" w:cs="Tahoma"/>
          <w:i/>
          <w:iCs/>
          <w:sz w:val="22"/>
          <w:szCs w:val="22"/>
        </w:rPr>
        <w:t>Estima a Receita e fixa a Despesa do Município da Estância Turística São Roque, Estado de São Paulo, para o exercício de 2022</w:t>
      </w:r>
      <w:r w:rsidRPr="00005F9B">
        <w:rPr>
          <w:rFonts w:ascii="Tahoma" w:hAnsi="Tahoma" w:cs="Tahoma"/>
          <w:sz w:val="22"/>
          <w:szCs w:val="22"/>
        </w:rPr>
        <w:t xml:space="preserve">”.  </w:t>
      </w:r>
    </w:p>
    <w:p w14:paraId="747F9F44" w14:textId="77777777" w:rsidR="007921E9" w:rsidRPr="00005F9B" w:rsidRDefault="007921E9" w:rsidP="00005F9B">
      <w:pPr>
        <w:ind w:left="3420" w:right="51" w:hanging="18"/>
        <w:jc w:val="both"/>
        <w:rPr>
          <w:rFonts w:ascii="Tahoma" w:hAnsi="Tahoma" w:cs="Tahoma"/>
        </w:rPr>
      </w:pPr>
    </w:p>
    <w:p w14:paraId="5F0DF15B" w14:textId="4D746C42" w:rsidR="007921E9" w:rsidRPr="003E06B5" w:rsidRDefault="00FD4EC6" w:rsidP="00005F9B">
      <w:pPr>
        <w:ind w:right="28" w:firstLine="3402"/>
        <w:jc w:val="both"/>
        <w:rPr>
          <w:rFonts w:ascii="Tahoma" w:hAnsi="Tahoma" w:cs="Tahoma"/>
          <w:sz w:val="20"/>
          <w:szCs w:val="20"/>
        </w:rPr>
      </w:pPr>
      <w:r w:rsidRPr="003E06B5">
        <w:rPr>
          <w:rFonts w:ascii="Tahoma" w:hAnsi="Tahoma" w:cs="Tahoma"/>
          <w:sz w:val="20"/>
          <w:szCs w:val="20"/>
        </w:rPr>
        <w:t>Inclui na proposta da Lei Orçamentária Anual – LOA / 20</w:t>
      </w:r>
      <w:r w:rsidR="00965E32" w:rsidRPr="003E06B5">
        <w:rPr>
          <w:rFonts w:ascii="Tahoma" w:hAnsi="Tahoma" w:cs="Tahoma"/>
          <w:sz w:val="20"/>
          <w:szCs w:val="20"/>
        </w:rPr>
        <w:t>2</w:t>
      </w:r>
      <w:r w:rsidR="003E06B5" w:rsidRPr="003E06B5">
        <w:rPr>
          <w:rFonts w:ascii="Tahoma" w:hAnsi="Tahoma" w:cs="Tahoma"/>
          <w:sz w:val="20"/>
          <w:szCs w:val="20"/>
        </w:rPr>
        <w:t>2</w:t>
      </w:r>
      <w:r w:rsidRPr="003E06B5">
        <w:rPr>
          <w:rFonts w:ascii="Tahoma" w:hAnsi="Tahoma" w:cs="Tahoma"/>
          <w:sz w:val="20"/>
          <w:szCs w:val="20"/>
        </w:rPr>
        <w:t xml:space="preserve"> a seguinte Ação:</w:t>
      </w:r>
    </w:p>
    <w:p w14:paraId="34F1216D" w14:textId="614B0932" w:rsidR="007921E9" w:rsidRPr="003E06B5" w:rsidRDefault="007921E9" w:rsidP="00005F9B">
      <w:pPr>
        <w:ind w:right="51"/>
        <w:jc w:val="both"/>
        <w:rPr>
          <w:rFonts w:ascii="Tahoma" w:hAnsi="Tahoma" w:cs="Tahoma"/>
          <w:sz w:val="20"/>
          <w:szCs w:val="20"/>
        </w:rPr>
      </w:pPr>
    </w:p>
    <w:p w14:paraId="146B2195" w14:textId="3417FA6D" w:rsidR="003E06B5" w:rsidRPr="003E06B5" w:rsidRDefault="003E06B5" w:rsidP="003E06B5">
      <w:pPr>
        <w:ind w:right="51" w:firstLine="3420"/>
        <w:jc w:val="both"/>
        <w:rPr>
          <w:rFonts w:ascii="Arial" w:hAnsi="Arial" w:cs="Times New Roman"/>
          <w:b/>
          <w:i/>
          <w:sz w:val="20"/>
          <w:szCs w:val="20"/>
          <w:lang w:eastAsia="pt-BR"/>
        </w:rPr>
      </w:pPr>
      <w:r w:rsidRPr="003E06B5">
        <w:rPr>
          <w:rFonts w:ascii="Arial" w:hAnsi="Arial"/>
          <w:b/>
          <w:i/>
          <w:sz w:val="20"/>
          <w:szCs w:val="20"/>
        </w:rPr>
        <w:t>Modifica a redação do artigo 6º do Projeto de Lei nº 106-E/2021 do Executivo – Lei Orçamentária Anual:</w:t>
      </w:r>
    </w:p>
    <w:p w14:paraId="6CF40DF8" w14:textId="77777777" w:rsidR="003E06B5" w:rsidRPr="003E06B5" w:rsidRDefault="003E06B5" w:rsidP="003E06B5">
      <w:pPr>
        <w:ind w:left="3420" w:right="51" w:hanging="18"/>
        <w:jc w:val="both"/>
        <w:rPr>
          <w:rFonts w:ascii="Arial" w:hAnsi="Arial"/>
          <w:sz w:val="20"/>
          <w:szCs w:val="20"/>
        </w:rPr>
      </w:pPr>
    </w:p>
    <w:p w14:paraId="69C8CFD0" w14:textId="4F20F062" w:rsidR="003E06B5" w:rsidRPr="003E06B5" w:rsidRDefault="003E06B5" w:rsidP="003E06B5">
      <w:pPr>
        <w:spacing w:before="120"/>
        <w:ind w:right="28" w:firstLine="3402"/>
        <w:jc w:val="both"/>
        <w:rPr>
          <w:rFonts w:ascii="Arial" w:hAnsi="Arial" w:cs="Arial"/>
          <w:sz w:val="20"/>
          <w:szCs w:val="20"/>
        </w:rPr>
      </w:pPr>
      <w:r w:rsidRPr="003E06B5">
        <w:rPr>
          <w:rFonts w:ascii="Arial" w:hAnsi="Arial" w:cs="Arial"/>
          <w:sz w:val="20"/>
          <w:szCs w:val="20"/>
        </w:rPr>
        <w:t>O artigo 6º, do Projeto de Lei 106/2021-E, Lei Orçamentária Anual – LOA/2022 passa a viger com a seguinte redação:</w:t>
      </w:r>
    </w:p>
    <w:p w14:paraId="57D94DFB" w14:textId="77777777" w:rsidR="003E06B5" w:rsidRPr="003E06B5" w:rsidRDefault="003E06B5" w:rsidP="003E06B5">
      <w:pPr>
        <w:ind w:right="51"/>
        <w:jc w:val="both"/>
        <w:rPr>
          <w:rFonts w:ascii="Arial" w:hAnsi="Arial" w:cs="Times New Roman"/>
          <w:sz w:val="20"/>
          <w:szCs w:val="20"/>
        </w:rPr>
      </w:pPr>
    </w:p>
    <w:p w14:paraId="469173D8" w14:textId="4C61D29B" w:rsidR="003E06B5" w:rsidRPr="003E06B5" w:rsidRDefault="003E06B5" w:rsidP="003E06B5">
      <w:pPr>
        <w:tabs>
          <w:tab w:val="left" w:pos="720"/>
        </w:tabs>
        <w:ind w:right="51"/>
        <w:jc w:val="both"/>
        <w:rPr>
          <w:rFonts w:ascii="Arial" w:hAnsi="Arial"/>
          <w:i/>
          <w:sz w:val="20"/>
          <w:szCs w:val="20"/>
        </w:rPr>
      </w:pPr>
      <w:r w:rsidRPr="003E06B5">
        <w:rPr>
          <w:rFonts w:ascii="Arial" w:hAnsi="Arial"/>
          <w:sz w:val="20"/>
          <w:szCs w:val="20"/>
        </w:rPr>
        <w:tab/>
        <w:t>“</w:t>
      </w:r>
      <w:r w:rsidRPr="003E06B5">
        <w:rPr>
          <w:rFonts w:ascii="Arial" w:hAnsi="Arial"/>
          <w:i/>
          <w:sz w:val="20"/>
          <w:szCs w:val="20"/>
        </w:rPr>
        <w:t>Art. 6º. Fica o Poder Executivo autorizado, nos termos da Constituição Federal, a:</w:t>
      </w:r>
    </w:p>
    <w:p w14:paraId="55160141" w14:textId="77777777" w:rsidR="003E06B5" w:rsidRPr="003E06B5" w:rsidRDefault="003E06B5" w:rsidP="003E06B5">
      <w:pPr>
        <w:ind w:right="51"/>
        <w:jc w:val="both"/>
        <w:rPr>
          <w:rFonts w:ascii="Arial" w:hAnsi="Arial"/>
          <w:sz w:val="20"/>
          <w:szCs w:val="20"/>
        </w:rPr>
      </w:pPr>
    </w:p>
    <w:p w14:paraId="483B0802" w14:textId="77777777" w:rsidR="003E06B5" w:rsidRPr="003E06B5" w:rsidRDefault="003E06B5" w:rsidP="003E06B5">
      <w:pPr>
        <w:ind w:right="51"/>
        <w:jc w:val="both"/>
        <w:rPr>
          <w:rFonts w:ascii="Arial" w:hAnsi="Arial"/>
          <w:sz w:val="20"/>
          <w:szCs w:val="20"/>
        </w:rPr>
      </w:pPr>
      <w:r w:rsidRPr="003E06B5">
        <w:rPr>
          <w:rFonts w:ascii="Arial" w:hAnsi="Arial"/>
          <w:sz w:val="20"/>
          <w:szCs w:val="20"/>
        </w:rPr>
        <w:tab/>
        <w:t xml:space="preserve">I – Realizar operações de crédito, nos termos da legislação em vigor; </w:t>
      </w:r>
    </w:p>
    <w:p w14:paraId="1BAF1610" w14:textId="77777777" w:rsidR="003E06B5" w:rsidRPr="003E06B5" w:rsidRDefault="003E06B5" w:rsidP="003E06B5">
      <w:pPr>
        <w:ind w:right="51"/>
        <w:jc w:val="both"/>
        <w:rPr>
          <w:rFonts w:ascii="Arial" w:hAnsi="Arial"/>
          <w:sz w:val="20"/>
          <w:szCs w:val="20"/>
        </w:rPr>
      </w:pPr>
    </w:p>
    <w:p w14:paraId="26EE156B" w14:textId="77777777" w:rsidR="003E06B5" w:rsidRPr="003E06B5" w:rsidRDefault="003E06B5" w:rsidP="003E06B5">
      <w:pPr>
        <w:ind w:left="720" w:right="51" w:hanging="12"/>
        <w:jc w:val="both"/>
        <w:rPr>
          <w:rFonts w:ascii="Arial" w:hAnsi="Arial"/>
          <w:i/>
          <w:sz w:val="20"/>
          <w:szCs w:val="20"/>
        </w:rPr>
      </w:pPr>
      <w:r w:rsidRPr="003E06B5">
        <w:rPr>
          <w:rFonts w:ascii="Arial" w:hAnsi="Arial"/>
          <w:i/>
          <w:sz w:val="20"/>
          <w:szCs w:val="20"/>
        </w:rPr>
        <w:t>II – Abrir créditos adicionais suplementares até o limite de 5% (cinco por cento) do Orçamento da Despesa;</w:t>
      </w:r>
    </w:p>
    <w:p w14:paraId="16B866CA" w14:textId="77777777" w:rsidR="003E06B5" w:rsidRPr="003E06B5" w:rsidRDefault="003E06B5" w:rsidP="003E06B5">
      <w:pPr>
        <w:ind w:left="720" w:right="51" w:hanging="12"/>
        <w:jc w:val="both"/>
        <w:rPr>
          <w:rFonts w:ascii="Arial" w:hAnsi="Arial"/>
          <w:sz w:val="20"/>
          <w:szCs w:val="20"/>
        </w:rPr>
      </w:pPr>
    </w:p>
    <w:p w14:paraId="3B4C20B6" w14:textId="77777777" w:rsidR="003E06B5" w:rsidRPr="003E06B5" w:rsidRDefault="003E06B5" w:rsidP="003E06B5">
      <w:pPr>
        <w:tabs>
          <w:tab w:val="left" w:pos="-540"/>
        </w:tabs>
        <w:ind w:left="720" w:right="639"/>
        <w:jc w:val="both"/>
        <w:rPr>
          <w:rFonts w:ascii="Arial" w:hAnsi="Arial"/>
          <w:i/>
          <w:sz w:val="20"/>
          <w:szCs w:val="20"/>
        </w:rPr>
      </w:pPr>
      <w:r w:rsidRPr="003E06B5">
        <w:rPr>
          <w:rFonts w:ascii="Arial" w:hAnsi="Arial"/>
          <w:i/>
          <w:sz w:val="20"/>
          <w:szCs w:val="20"/>
        </w:rPr>
        <w:t>III – Transpor, remanejar ou transferir recursos, de uma categoria de programação para outra, ou de um órgão para outro, nos termos do inciso VI, do artigo 167, da Constituição Federal até o limite de 5% (cinco por centro) do Orçamento da Despesa;</w:t>
      </w:r>
    </w:p>
    <w:p w14:paraId="728FAAF9" w14:textId="77777777" w:rsidR="003E06B5" w:rsidRPr="003E06B5" w:rsidRDefault="003E06B5" w:rsidP="003E06B5">
      <w:pPr>
        <w:tabs>
          <w:tab w:val="left" w:pos="-540"/>
        </w:tabs>
        <w:ind w:left="720" w:right="639"/>
        <w:jc w:val="both"/>
        <w:rPr>
          <w:rFonts w:ascii="Arial" w:hAnsi="Arial"/>
          <w:i/>
          <w:sz w:val="20"/>
          <w:szCs w:val="20"/>
        </w:rPr>
      </w:pPr>
    </w:p>
    <w:p w14:paraId="0C9F0FE4" w14:textId="77777777" w:rsidR="003E06B5" w:rsidRPr="003E06B5" w:rsidRDefault="003E06B5" w:rsidP="003E06B5">
      <w:pPr>
        <w:tabs>
          <w:tab w:val="left" w:pos="-540"/>
        </w:tabs>
        <w:ind w:left="720" w:right="639"/>
        <w:jc w:val="both"/>
        <w:rPr>
          <w:rFonts w:ascii="Arial" w:hAnsi="Arial"/>
          <w:i/>
          <w:sz w:val="20"/>
          <w:szCs w:val="20"/>
        </w:rPr>
      </w:pPr>
      <w:r w:rsidRPr="003E06B5">
        <w:rPr>
          <w:rFonts w:ascii="Arial" w:hAnsi="Arial"/>
          <w:i/>
          <w:sz w:val="20"/>
          <w:szCs w:val="20"/>
        </w:rPr>
        <w:t>IV – Abrir créditos adicionais suplementares até o limite da efetiva arrecadação dos recursos de Fundos Especiais e Convênios.</w:t>
      </w:r>
    </w:p>
    <w:p w14:paraId="4D315400" w14:textId="77777777" w:rsidR="003E06B5" w:rsidRPr="003E06B5" w:rsidRDefault="003E06B5" w:rsidP="003E06B5">
      <w:pPr>
        <w:tabs>
          <w:tab w:val="left" w:pos="-540"/>
        </w:tabs>
        <w:ind w:left="720" w:right="639"/>
        <w:jc w:val="both"/>
        <w:rPr>
          <w:rFonts w:ascii="Arial" w:hAnsi="Arial"/>
          <w:i/>
          <w:sz w:val="20"/>
          <w:szCs w:val="20"/>
        </w:rPr>
      </w:pPr>
    </w:p>
    <w:p w14:paraId="78706A59" w14:textId="174395C1" w:rsidR="003E06B5" w:rsidRPr="003E06B5" w:rsidRDefault="003E06B5" w:rsidP="003E06B5">
      <w:pPr>
        <w:tabs>
          <w:tab w:val="left" w:pos="-540"/>
        </w:tabs>
        <w:ind w:left="720" w:right="639"/>
        <w:jc w:val="both"/>
        <w:rPr>
          <w:rFonts w:ascii="Arial" w:hAnsi="Arial"/>
          <w:sz w:val="20"/>
          <w:szCs w:val="20"/>
        </w:rPr>
      </w:pPr>
      <w:r w:rsidRPr="003E06B5">
        <w:rPr>
          <w:rFonts w:ascii="Arial" w:hAnsi="Arial"/>
          <w:i/>
          <w:sz w:val="20"/>
          <w:szCs w:val="20"/>
        </w:rPr>
        <w:t>Parágrafo Único. Fica autorizado o Poder Legislativo a abrir crédito adicional suplementar nos termos do inciso II, do artigo 6º.”</w:t>
      </w:r>
    </w:p>
    <w:p w14:paraId="1C30625E" w14:textId="77777777" w:rsidR="003E06B5" w:rsidRPr="003E06B5" w:rsidRDefault="003E06B5" w:rsidP="003E06B5">
      <w:pPr>
        <w:pStyle w:val="Ttulo1"/>
        <w:spacing w:line="280" w:lineRule="exact"/>
        <w:ind w:right="51" w:firstLine="3402"/>
        <w:rPr>
          <w:rFonts w:ascii="Arial" w:hAnsi="Arial"/>
          <w:color w:val="auto"/>
          <w:sz w:val="20"/>
          <w:szCs w:val="20"/>
        </w:rPr>
      </w:pPr>
      <w:r w:rsidRPr="003E06B5">
        <w:rPr>
          <w:rFonts w:ascii="Arial" w:hAnsi="Arial"/>
          <w:color w:val="auto"/>
          <w:sz w:val="20"/>
          <w:szCs w:val="20"/>
        </w:rPr>
        <w:t xml:space="preserve">JUSTIFICATIVA </w:t>
      </w:r>
    </w:p>
    <w:p w14:paraId="7F70C59E" w14:textId="557EB0F2" w:rsidR="003E06B5" w:rsidRPr="003E06B5" w:rsidRDefault="003E06B5" w:rsidP="003E06B5">
      <w:pPr>
        <w:pStyle w:val="Ttulo1"/>
        <w:spacing w:line="280" w:lineRule="exact"/>
        <w:ind w:right="51" w:firstLine="3402"/>
        <w:jc w:val="both"/>
        <w:rPr>
          <w:rFonts w:ascii="Arial" w:hAnsi="Arial"/>
          <w:b w:val="0"/>
          <w:color w:val="auto"/>
          <w:sz w:val="20"/>
          <w:szCs w:val="20"/>
        </w:rPr>
      </w:pPr>
      <w:r w:rsidRPr="003E06B5">
        <w:rPr>
          <w:rFonts w:ascii="Arial" w:hAnsi="Arial"/>
          <w:b w:val="0"/>
          <w:color w:val="auto"/>
          <w:sz w:val="20"/>
          <w:szCs w:val="20"/>
        </w:rPr>
        <w:tab/>
        <w:t xml:space="preserve">Esta emenda visa adequar o texto da Lei </w:t>
      </w:r>
      <w:r w:rsidR="008C4D86">
        <w:rPr>
          <w:rFonts w:ascii="Arial" w:hAnsi="Arial"/>
          <w:b w:val="0"/>
          <w:color w:val="auto"/>
          <w:sz w:val="20"/>
          <w:szCs w:val="20"/>
        </w:rPr>
        <w:t>Orçamentária Anual</w:t>
      </w:r>
      <w:r w:rsidRPr="003E06B5">
        <w:rPr>
          <w:rFonts w:ascii="Arial" w:hAnsi="Arial"/>
          <w:b w:val="0"/>
          <w:color w:val="auto"/>
          <w:sz w:val="20"/>
          <w:szCs w:val="20"/>
        </w:rPr>
        <w:t xml:space="preserve"> no tocante a questão referente à abertura de créditos adicionais suplementares. A proposta insere limites para tais ações a fim de se evitar a distorção no momento da execução do orçamento aprovado por esta Casa de Leis. </w:t>
      </w:r>
    </w:p>
    <w:p w14:paraId="16ACBBF4" w14:textId="7BB32B9F" w:rsidR="003E06B5" w:rsidRPr="003E06B5" w:rsidRDefault="003E06B5" w:rsidP="003E06B5">
      <w:pPr>
        <w:ind w:right="51"/>
        <w:jc w:val="both"/>
        <w:rPr>
          <w:rFonts w:ascii="Tahoma" w:hAnsi="Tahoma" w:cs="Tahoma"/>
          <w:sz w:val="20"/>
          <w:szCs w:val="20"/>
        </w:rPr>
      </w:pPr>
    </w:p>
    <w:p w14:paraId="239D6481" w14:textId="68257883" w:rsidR="003E06B5" w:rsidRPr="003E06B5" w:rsidRDefault="003E06B5" w:rsidP="00005F9B">
      <w:pPr>
        <w:ind w:right="51"/>
        <w:jc w:val="both"/>
        <w:rPr>
          <w:rFonts w:ascii="Tahoma" w:hAnsi="Tahoma" w:cs="Tahoma"/>
          <w:sz w:val="20"/>
          <w:szCs w:val="20"/>
        </w:rPr>
      </w:pPr>
    </w:p>
    <w:p w14:paraId="328967C4" w14:textId="77777777" w:rsidR="007921E9" w:rsidRPr="003E06B5" w:rsidRDefault="00FD4EC6" w:rsidP="00005F9B">
      <w:pPr>
        <w:pStyle w:val="Ttulo1"/>
        <w:spacing w:before="0"/>
        <w:ind w:left="3420" w:right="51" w:hanging="18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3E06B5">
        <w:rPr>
          <w:rFonts w:ascii="Tahoma" w:hAnsi="Tahoma" w:cs="Tahoma"/>
          <w:b w:val="0"/>
          <w:bCs w:val="0"/>
          <w:color w:val="auto"/>
          <w:sz w:val="20"/>
          <w:szCs w:val="20"/>
        </w:rPr>
        <w:t>Sala das Sessões Dr. Júlio Arantes de Freitas, 22 de outubro de 2021.</w:t>
      </w:r>
    </w:p>
    <w:p w14:paraId="693A3E32" w14:textId="77777777" w:rsidR="003E06B5" w:rsidRPr="003E06B5" w:rsidRDefault="003E06B5" w:rsidP="00005F9B">
      <w:pPr>
        <w:ind w:right="51"/>
        <w:jc w:val="center"/>
        <w:rPr>
          <w:rFonts w:ascii="Tahoma" w:hAnsi="Tahoma" w:cs="Tahoma"/>
          <w:b/>
          <w:bCs/>
          <w:caps/>
          <w:sz w:val="20"/>
          <w:szCs w:val="20"/>
        </w:rPr>
      </w:pPr>
    </w:p>
    <w:p w14:paraId="15CEEC47" w14:textId="073A78D5" w:rsidR="007921E9" w:rsidRPr="003E06B5" w:rsidRDefault="00FD4EC6" w:rsidP="00005F9B">
      <w:pPr>
        <w:ind w:right="51"/>
        <w:jc w:val="center"/>
        <w:rPr>
          <w:rFonts w:ascii="Tahoma" w:hAnsi="Tahoma" w:cs="Tahoma"/>
          <w:b/>
          <w:bCs/>
          <w:caps/>
          <w:sz w:val="20"/>
          <w:szCs w:val="20"/>
        </w:rPr>
      </w:pPr>
      <w:r w:rsidRPr="003E06B5">
        <w:rPr>
          <w:rFonts w:ascii="Tahoma" w:hAnsi="Tahoma" w:cs="Tahoma"/>
          <w:b/>
          <w:bCs/>
          <w:caps/>
          <w:sz w:val="20"/>
          <w:szCs w:val="20"/>
        </w:rPr>
        <w:t>Newton Dias Bastos</w:t>
      </w:r>
    </w:p>
    <w:p w14:paraId="3E4B2ACC" w14:textId="77777777" w:rsidR="007921E9" w:rsidRPr="003E06B5" w:rsidRDefault="00FD4EC6" w:rsidP="00005F9B">
      <w:pPr>
        <w:pStyle w:val="Ttulo1"/>
        <w:spacing w:before="0"/>
        <w:ind w:right="51"/>
        <w:jc w:val="center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3E06B5">
        <w:rPr>
          <w:rFonts w:ascii="Tahoma" w:hAnsi="Tahoma" w:cs="Tahoma"/>
          <w:b w:val="0"/>
          <w:bCs w:val="0"/>
          <w:color w:val="auto"/>
          <w:sz w:val="20"/>
          <w:szCs w:val="20"/>
        </w:rPr>
        <w:t>Vereador</w:t>
      </w:r>
    </w:p>
    <w:p w14:paraId="64B5A721" w14:textId="77777777" w:rsidR="007921E9" w:rsidRPr="00005F9B" w:rsidRDefault="007921E9" w:rsidP="00005F9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27D980B8" w14:textId="77777777" w:rsidR="007921E9" w:rsidRPr="00005F9B" w:rsidRDefault="007921E9" w:rsidP="00005F9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19F17475" w14:textId="51474F57" w:rsidR="003E06B5" w:rsidRDefault="00FD4EC6" w:rsidP="003E06B5">
      <w:pPr>
        <w:jc w:val="right"/>
      </w:pPr>
      <w:r w:rsidRPr="00005F9B">
        <w:rPr>
          <w:rFonts w:ascii="Arial" w:hAnsi="Arial" w:cs="Arial"/>
          <w:b/>
          <w:bCs/>
          <w:sz w:val="16"/>
          <w:szCs w:val="16"/>
        </w:rPr>
        <w:t>PROTOCOLO Nº CETSR 22/10/2021 - 08:37 11427/2021</w:t>
      </w:r>
    </w:p>
    <w:sectPr w:rsidR="003E06B5" w:rsidSect="00005F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5A5BA" w14:textId="77777777" w:rsidR="004D0989" w:rsidRDefault="004D0989">
      <w:r>
        <w:separator/>
      </w:r>
    </w:p>
  </w:endnote>
  <w:endnote w:type="continuationSeparator" w:id="0">
    <w:p w14:paraId="397972F1" w14:textId="77777777" w:rsidR="004D0989" w:rsidRDefault="004D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57E3" w14:textId="77777777" w:rsidR="00337BC4" w:rsidRDefault="00337B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AE03" w14:textId="77777777" w:rsidR="00337BC4" w:rsidRDefault="00337BC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638E" w14:textId="77777777" w:rsidR="00337BC4" w:rsidRDefault="00337B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2D381" w14:textId="77777777" w:rsidR="004D0989" w:rsidRDefault="004D0989">
      <w:r>
        <w:separator/>
      </w:r>
    </w:p>
  </w:footnote>
  <w:footnote w:type="continuationSeparator" w:id="0">
    <w:p w14:paraId="446492EC" w14:textId="77777777" w:rsidR="004D0989" w:rsidRDefault="004D0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32CB" w14:textId="77777777" w:rsidR="00337BC4" w:rsidRDefault="00337B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0919" w14:textId="77777777" w:rsidR="00337BC4" w:rsidRDefault="004D0989" w:rsidP="00337BC4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6ACE38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 w:rsidR="00FD4EC6">
      <w:rPr>
        <w:rFonts w:ascii="SheerElegance" w:hAnsi="SheerElegance"/>
        <w:sz w:val="56"/>
        <w:szCs w:val="56"/>
      </w:rPr>
      <w:t>Câmara Municipal da Estância Turística de São Roque</w:t>
    </w:r>
  </w:p>
  <w:p w14:paraId="78C2D800" w14:textId="77777777" w:rsidR="00337BC4" w:rsidRDefault="00337BC4" w:rsidP="00337BC4">
    <w:pPr>
      <w:pStyle w:val="Default"/>
      <w:ind w:right="-471" w:firstLine="142"/>
      <w:rPr>
        <w:sz w:val="14"/>
        <w:szCs w:val="14"/>
      </w:rPr>
    </w:pPr>
  </w:p>
  <w:p w14:paraId="65E5629F" w14:textId="77777777" w:rsidR="00337BC4" w:rsidRDefault="00FD4EC6" w:rsidP="00337BC4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C0559E3" w14:textId="77777777" w:rsidR="00337BC4" w:rsidRDefault="00FD4EC6" w:rsidP="00337BC4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6456110F" w14:textId="77777777" w:rsidR="00337BC4" w:rsidRDefault="00FD4EC6" w:rsidP="00337BC4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54D9641C" w14:textId="77777777" w:rsidR="00337BC4" w:rsidRDefault="00FD4EC6" w:rsidP="00337BC4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60CF8A6A" w14:textId="77777777" w:rsidR="00337BC4" w:rsidRDefault="00337B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DA66" w14:textId="77777777" w:rsidR="00337BC4" w:rsidRDefault="00337B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05F9B"/>
    <w:rsid w:val="0015129B"/>
    <w:rsid w:val="001915A3"/>
    <w:rsid w:val="00217F62"/>
    <w:rsid w:val="0029055F"/>
    <w:rsid w:val="00337BC4"/>
    <w:rsid w:val="003E06B5"/>
    <w:rsid w:val="004D0989"/>
    <w:rsid w:val="006854DB"/>
    <w:rsid w:val="0069782C"/>
    <w:rsid w:val="007921E9"/>
    <w:rsid w:val="007F4433"/>
    <w:rsid w:val="008C4D86"/>
    <w:rsid w:val="00915ABC"/>
    <w:rsid w:val="00965E32"/>
    <w:rsid w:val="009F510C"/>
    <w:rsid w:val="00A25719"/>
    <w:rsid w:val="00A54D32"/>
    <w:rsid w:val="00A570BD"/>
    <w:rsid w:val="00A906D8"/>
    <w:rsid w:val="00AB5A74"/>
    <w:rsid w:val="00B24108"/>
    <w:rsid w:val="00C52EA5"/>
    <w:rsid w:val="00D24AC4"/>
    <w:rsid w:val="00EC4F03"/>
    <w:rsid w:val="00F071AE"/>
    <w:rsid w:val="00FC3028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3F76EA69"/>
  <w15:docId w15:val="{3FE2D15F-A3AB-42BF-9031-B6B01B2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BD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A570BD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A570BD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A570BD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A570BD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A570BD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A570BD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A570BD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A570BD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A570BD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4F0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A570B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A570BD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A570BD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A570BD"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sid w:val="00A570BD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A570BD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A570BD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A570BD"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005F9B"/>
    <w:pPr>
      <w:ind w:firstLine="3119"/>
      <w:jc w:val="both"/>
    </w:pPr>
    <w:rPr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EC4F03"/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37BC4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37BC4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337BC4"/>
    <w:rPr>
      <w:color w:val="0563C1"/>
      <w:u w:val="single"/>
    </w:rPr>
  </w:style>
  <w:style w:type="paragraph" w:customStyle="1" w:styleId="Default">
    <w:name w:val="Default"/>
    <w:rsid w:val="00337BC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268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madeli</cp:lastModifiedBy>
  <cp:revision>9</cp:revision>
  <dcterms:created xsi:type="dcterms:W3CDTF">2018-10-03T13:28:00Z</dcterms:created>
  <dcterms:modified xsi:type="dcterms:W3CDTF">2021-10-22T11:44:00Z</dcterms:modified>
</cp:coreProperties>
</file>