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446D" w14:textId="77777777" w:rsidR="000250C2" w:rsidRDefault="007A4FB6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MENSAGEM N.º 120/2021</w:t>
      </w:r>
    </w:p>
    <w:p w14:paraId="6849D533" w14:textId="77777777" w:rsidR="000250C2" w:rsidRDefault="007A4FB6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04 de novembro de 2021</w:t>
      </w:r>
    </w:p>
    <w:p w14:paraId="7384E9EE" w14:textId="77777777" w:rsidR="000250C2" w:rsidRDefault="000250C2">
      <w:pPr>
        <w:rPr>
          <w:rFonts w:ascii="Arial" w:hAnsi="Arial" w:cs="Arial"/>
          <w:sz w:val="24"/>
          <w:szCs w:val="24"/>
        </w:rPr>
      </w:pPr>
    </w:p>
    <w:p w14:paraId="4D0F3896" w14:textId="77777777" w:rsidR="000250C2" w:rsidRDefault="000250C2">
      <w:pPr>
        <w:rPr>
          <w:rFonts w:ascii="Arial" w:hAnsi="Arial" w:cs="Arial"/>
          <w:sz w:val="24"/>
          <w:szCs w:val="24"/>
        </w:rPr>
      </w:pPr>
    </w:p>
    <w:p w14:paraId="5BFAA656" w14:textId="77777777" w:rsidR="000250C2" w:rsidRDefault="007A4FB6">
      <w:pPr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39CC14E6" w14:textId="77777777" w:rsidR="000250C2" w:rsidRDefault="000250C2">
      <w:pPr>
        <w:jc w:val="both"/>
        <w:rPr>
          <w:rFonts w:ascii="Arial" w:hAnsi="Arial" w:cs="Arial"/>
          <w:sz w:val="24"/>
          <w:szCs w:val="24"/>
        </w:rPr>
      </w:pPr>
    </w:p>
    <w:p w14:paraId="654A855B" w14:textId="77777777" w:rsidR="000250C2" w:rsidRDefault="007A4FB6">
      <w:pPr>
        <w:widowControl w:val="0"/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Tenho a honra de encaminhar à apreciação de Vossa Excelência e dessa Nobre Câmara Municipal, o incluso projeto de lei que altera a Lei Municipal n.º 4.985 de 04 de </w:t>
      </w:r>
      <w:r>
        <w:rPr>
          <w:rFonts w:ascii="Arial" w:hAnsi="Arial" w:cs="Arial"/>
          <w:bCs/>
          <w:kern w:val="36"/>
          <w:sz w:val="24"/>
          <w:szCs w:val="24"/>
        </w:rPr>
        <w:t>julho de 2019.</w:t>
      </w:r>
    </w:p>
    <w:p w14:paraId="76EAF109" w14:textId="77777777" w:rsidR="000250C2" w:rsidRDefault="007A4FB6">
      <w:pPr>
        <w:widowControl w:val="0"/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A presente propositura tem por objeto alterar e revogar dispositivos da Lei Municipal 4.985, de 04 de julho de 2019, os quais restringem a participação de Organizações Sociais nos chamamentos públicos, disciplinando a obrigatoriedade de part</w:t>
      </w:r>
      <w:r>
        <w:rPr>
          <w:rFonts w:ascii="Arial" w:hAnsi="Arial" w:cs="Arial"/>
          <w:bCs/>
          <w:kern w:val="36"/>
          <w:sz w:val="24"/>
          <w:szCs w:val="24"/>
        </w:rPr>
        <w:t xml:space="preserve">icipação de membro da sociedade civil local nos estatutos das entidades privadas. </w:t>
      </w:r>
    </w:p>
    <w:p w14:paraId="2E2DE593" w14:textId="77777777" w:rsidR="000250C2" w:rsidRDefault="007A4FB6">
      <w:pPr>
        <w:widowControl w:val="0"/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É notória que tal previsão é inconstitucional e impede a competitividade, diminuindo ou até mesmo impedindo a qualificação de organizações sociais no município, contrariando</w:t>
      </w:r>
      <w:r>
        <w:rPr>
          <w:rFonts w:ascii="Arial" w:hAnsi="Arial" w:cs="Arial"/>
          <w:bCs/>
          <w:kern w:val="36"/>
          <w:sz w:val="24"/>
          <w:szCs w:val="24"/>
        </w:rPr>
        <w:t xml:space="preserve"> veementemente a legislação em vigor.</w:t>
      </w:r>
    </w:p>
    <w:p w14:paraId="31CD0342" w14:textId="77777777" w:rsidR="000250C2" w:rsidRDefault="007A4FB6">
      <w:pPr>
        <w:widowControl w:val="0"/>
        <w:spacing w:after="12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Ademais, as alterações pretendidas pretendem qualificações de Organizações sociais que apresentem </w:t>
      </w:r>
      <w:r>
        <w:rPr>
          <w:rFonts w:ascii="Arial" w:hAnsi="Arial" w:cs="Arial"/>
          <w:sz w:val="24"/>
          <w:szCs w:val="24"/>
          <w:shd w:val="clear" w:color="auto" w:fill="FFFFFF"/>
        </w:rPr>
        <w:t>conduta ética, respeito e decoro nas relações com o Poder Público, princípios estes fundamentais na prestação dos serviç</w:t>
      </w:r>
      <w:r>
        <w:rPr>
          <w:rFonts w:ascii="Arial" w:hAnsi="Arial" w:cs="Arial"/>
          <w:sz w:val="24"/>
          <w:szCs w:val="24"/>
          <w:shd w:val="clear" w:color="auto" w:fill="FFFFFF"/>
        </w:rPr>
        <w:t>os e na gestão de recursos públicos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2102C010" w14:textId="77777777" w:rsidR="000250C2" w:rsidRDefault="007A4FB6">
      <w:pPr>
        <w:spacing w:after="12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14:paraId="018EEB6D" w14:textId="77777777" w:rsidR="000250C2" w:rsidRDefault="000250C2">
      <w:pPr>
        <w:spacing w:after="120" w:line="360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62EA5E42" w14:textId="77777777" w:rsidR="000250C2" w:rsidRDefault="000250C2">
      <w:pPr>
        <w:jc w:val="both"/>
        <w:rPr>
          <w:rFonts w:ascii="Arial" w:hAnsi="Arial" w:cs="Arial"/>
          <w:bCs/>
          <w:sz w:val="24"/>
          <w:szCs w:val="24"/>
        </w:rPr>
      </w:pPr>
    </w:p>
    <w:p w14:paraId="542EE384" w14:textId="77777777" w:rsidR="000250C2" w:rsidRDefault="000250C2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25DB2695" w14:textId="77777777" w:rsidR="000250C2" w:rsidRDefault="000250C2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6363DD9F" w14:textId="77777777" w:rsidR="000250C2" w:rsidRDefault="007A4FB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MARCOS AUGUSTO ISSA HENRIQUES DE ARAÚJO</w:t>
      </w:r>
    </w:p>
    <w:p w14:paraId="0939FF25" w14:textId="77777777" w:rsidR="000250C2" w:rsidRDefault="007A4FB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PREFEITO</w:t>
      </w:r>
    </w:p>
    <w:p w14:paraId="10FDF4E1" w14:textId="77777777" w:rsidR="000250C2" w:rsidRDefault="000250C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79A80552" w14:textId="77777777" w:rsidR="000250C2" w:rsidRDefault="000250C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3DE113B9" w14:textId="77777777" w:rsidR="000250C2" w:rsidRDefault="000250C2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7EBE80A3" w14:textId="77777777" w:rsidR="000250C2" w:rsidRDefault="000250C2">
      <w:pPr>
        <w:ind w:right="142"/>
        <w:jc w:val="both"/>
        <w:rPr>
          <w:rFonts w:ascii="Arial" w:hAnsi="Arial" w:cs="Arial"/>
          <w:b/>
          <w:sz w:val="24"/>
          <w:szCs w:val="24"/>
        </w:rPr>
      </w:pPr>
    </w:p>
    <w:p w14:paraId="6D59E4A6" w14:textId="77777777" w:rsidR="000250C2" w:rsidRDefault="007A4FB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 Exmo. Sr.</w:t>
      </w:r>
    </w:p>
    <w:p w14:paraId="2CA5A2D3" w14:textId="77777777" w:rsidR="000250C2" w:rsidRDefault="007A4FB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Antônio Mariano</w:t>
      </w:r>
    </w:p>
    <w:p w14:paraId="69644F7E" w14:textId="77777777" w:rsidR="000250C2" w:rsidRDefault="007A4FB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DD. Presidente</w:t>
      </w:r>
      <w:r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14:paraId="484A829E" w14:textId="77777777" w:rsidR="000250C2" w:rsidRDefault="007A4FB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São Roque – SP</w:t>
      </w:r>
    </w:p>
    <w:p w14:paraId="6D81CC2D" w14:textId="77777777" w:rsidR="000250C2" w:rsidRDefault="007A4FB6">
      <w:pPr>
        <w:ind w:right="113" w:firstLine="3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82BFF4" w14:textId="77777777" w:rsidR="000250C2" w:rsidRDefault="000250C2">
      <w:pPr>
        <w:ind w:right="113" w:firstLine="3119"/>
        <w:rPr>
          <w:rFonts w:ascii="Arial" w:hAnsi="Arial" w:cs="Arial"/>
          <w:sz w:val="24"/>
          <w:szCs w:val="24"/>
        </w:rPr>
      </w:pPr>
    </w:p>
    <w:p w14:paraId="5E0AB2CE" w14:textId="77777777" w:rsidR="000250C2" w:rsidRDefault="007A4FB6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PROJETO DE LEI N.º 120/2021</w:t>
      </w:r>
    </w:p>
    <w:p w14:paraId="5B7A6765" w14:textId="77777777" w:rsidR="000250C2" w:rsidRDefault="007A4FB6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De 04 de novembro de 2021</w:t>
      </w:r>
    </w:p>
    <w:p w14:paraId="01DD7060" w14:textId="77777777" w:rsidR="000250C2" w:rsidRDefault="007A4FB6">
      <w:pPr>
        <w:widowControl w:val="0"/>
        <w:spacing w:after="480"/>
        <w:ind w:left="3119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Altera a Lei Municipal n.º 4.985 de 04 de julho de 2019 e dá outras providências.</w:t>
      </w:r>
    </w:p>
    <w:p w14:paraId="272CCED2" w14:textId="77777777" w:rsidR="000250C2" w:rsidRDefault="007A4FB6">
      <w:pPr>
        <w:widowControl w:val="0"/>
        <w:spacing w:after="480"/>
        <w:ind w:left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Prefeito da Estância Turística de São Roque, no uso de suas </w:t>
      </w:r>
      <w:r>
        <w:rPr>
          <w:rFonts w:ascii="Arial" w:hAnsi="Arial" w:cs="Arial"/>
          <w:sz w:val="24"/>
          <w:szCs w:val="24"/>
        </w:rPr>
        <w:t>atribuições legais,</w:t>
      </w:r>
    </w:p>
    <w:p w14:paraId="7D070DC1" w14:textId="77777777" w:rsidR="000250C2" w:rsidRDefault="007A4FB6">
      <w:pPr>
        <w:pStyle w:val="Corpodetexto"/>
        <w:spacing w:after="480" w:line="240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14:paraId="12A79030" w14:textId="77777777" w:rsidR="000250C2" w:rsidRDefault="007A4FB6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1º As alíneas “c”, “d”, “f”, “m” do inciso I, do art. 2º da Lei Municipal 4.985, de 04 de julho de 2019 passa a viger com a </w:t>
      </w:r>
      <w:r>
        <w:rPr>
          <w:rFonts w:ascii="Arial" w:hAnsi="Arial" w:cs="Arial"/>
          <w:bCs/>
          <w:sz w:val="24"/>
          <w:szCs w:val="24"/>
        </w:rPr>
        <w:t xml:space="preserve">seguinte redação:  </w:t>
      </w:r>
    </w:p>
    <w:p w14:paraId="41534AA5" w14:textId="77777777" w:rsidR="000250C2" w:rsidRDefault="007A4FB6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“Art. 2º (...)</w:t>
      </w:r>
    </w:p>
    <w:p w14:paraId="3363612D" w14:textId="77777777" w:rsidR="000250C2" w:rsidRDefault="007A4FB6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I – (...)</w:t>
      </w:r>
    </w:p>
    <w:p w14:paraId="0693CEE6" w14:textId="77777777" w:rsidR="000250C2" w:rsidRDefault="007A4FB6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(...) </w:t>
      </w:r>
    </w:p>
    <w:p w14:paraId="6F74EEF8" w14:textId="77777777" w:rsidR="000250C2" w:rsidRDefault="007A4FB6">
      <w:pPr>
        <w:pStyle w:val="NormalWeb"/>
        <w:shd w:val="clear" w:color="auto" w:fill="FFFFFF"/>
        <w:spacing w:before="0" w:beforeAutospacing="0" w:after="120" w:afterAutospacing="0"/>
        <w:ind w:left="1418" w:firstLine="170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c) previsão expressa de ter a entidade, como órgãos de deliberação superior e de direção, um Conselho de Administração que  adote os princípios de governança corporativa, com efetivo programa  de compliance, e,  além  da  Diretoria estatutária,  uma Direto</w:t>
      </w:r>
      <w:r>
        <w:rPr>
          <w:rFonts w:ascii="Arial" w:hAnsi="Arial" w:cs="Arial"/>
          <w:i/>
        </w:rPr>
        <w:t>ria Executiva profissional com dedicação integral composta por profissionais devidamente qualificados e habilitados para o cargo, definidos nos termos do Estatuto  ou  em  regulamento devidamente  registrado, assegurado a composição e atribuições normativa</w:t>
      </w:r>
      <w:r>
        <w:rPr>
          <w:rFonts w:ascii="Arial" w:hAnsi="Arial" w:cs="Arial"/>
          <w:i/>
        </w:rPr>
        <w:t>s bem como controles básicos previstos nesta Lei;</w:t>
      </w:r>
    </w:p>
    <w:p w14:paraId="7400A0BE" w14:textId="77777777" w:rsidR="000250C2" w:rsidRDefault="007A4FB6">
      <w:pPr>
        <w:pStyle w:val="NormalWeb"/>
        <w:shd w:val="clear" w:color="auto" w:fill="FFFFFF"/>
        <w:spacing w:before="0" w:beforeAutospacing="0" w:after="120" w:afterAutospacing="0"/>
        <w:ind w:left="1418" w:firstLine="170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d) previsão de participação, no órgão colegiado de deliberação superior, de membros da sociedade civil organizada de notória capacidade profissional e idoneidade moral;</w:t>
      </w:r>
    </w:p>
    <w:p w14:paraId="57239494" w14:textId="77777777" w:rsidR="000250C2" w:rsidRDefault="007A4FB6">
      <w:pPr>
        <w:pStyle w:val="NormalWeb"/>
        <w:shd w:val="clear" w:color="auto" w:fill="FFFFFF"/>
        <w:spacing w:before="0" w:beforeAutospacing="0" w:after="120" w:afterAutospacing="0"/>
        <w:ind w:left="1418" w:firstLine="170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f) obrigatoriedade de publicação anua</w:t>
      </w:r>
      <w:r>
        <w:rPr>
          <w:rFonts w:ascii="Arial" w:hAnsi="Arial" w:cs="Arial"/>
          <w:i/>
        </w:rPr>
        <w:t>l, no Diário Oficial do Estado, dos relatórios financeiros e do relatório de execução do contrato de gestão;</w:t>
      </w:r>
    </w:p>
    <w:p w14:paraId="0B07DFD7" w14:textId="77777777" w:rsidR="000250C2" w:rsidRDefault="007A4FB6">
      <w:pPr>
        <w:pStyle w:val="NormalWeb"/>
        <w:shd w:val="clear" w:color="auto" w:fill="FFFFFF"/>
        <w:spacing w:before="0" w:beforeAutospacing="0" w:after="240" w:afterAutospacing="0"/>
        <w:ind w:left="1418" w:firstLine="1701"/>
        <w:jc w:val="both"/>
        <w:rPr>
          <w:rFonts w:ascii="Arial" w:hAnsi="Arial" w:cs="Arial"/>
          <w:bCs/>
        </w:rPr>
      </w:pPr>
      <w:r>
        <w:rPr>
          <w:rFonts w:ascii="Arial" w:hAnsi="Arial" w:cs="Arial"/>
          <w:i/>
          <w:shd w:val="clear" w:color="auto" w:fill="FFFFFF"/>
        </w:rPr>
        <w:t>m) possuir patrimônio comprovado e relevante em face do valor objeto do contrato de gestão a fim de garantir a execução do mesmo;”</w:t>
      </w:r>
    </w:p>
    <w:p w14:paraId="4822E810" w14:textId="77777777" w:rsidR="000250C2" w:rsidRDefault="007A4FB6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2º O artigo</w:t>
      </w:r>
      <w:r>
        <w:rPr>
          <w:rFonts w:ascii="Arial" w:hAnsi="Arial" w:cs="Arial"/>
          <w:bCs/>
          <w:sz w:val="24"/>
          <w:szCs w:val="24"/>
        </w:rPr>
        <w:t xml:space="preserve"> 8º da Lei Municipal 4.985, de 28 de março de 2019, passa a viger com a seguinte redação: </w:t>
      </w:r>
    </w:p>
    <w:p w14:paraId="7E2D870C" w14:textId="77777777" w:rsidR="000250C2" w:rsidRDefault="007A4FB6">
      <w:pPr>
        <w:pStyle w:val="Corpodetexto2"/>
        <w:tabs>
          <w:tab w:val="left" w:pos="8364"/>
        </w:tabs>
        <w:spacing w:after="240" w:line="240" w:lineRule="auto"/>
        <w:ind w:left="1418" w:firstLine="1701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“Art. 8º O Poder Executivo poderá qualificar como organização sociais as pessoas jurídicas de direito privado, sem fins lucrativos, a qualquer tempo, mediante requer</w:t>
      </w:r>
      <w:r>
        <w:rPr>
          <w:rFonts w:ascii="Arial" w:hAnsi="Arial" w:cs="Arial"/>
          <w:bCs/>
          <w:i/>
          <w:sz w:val="24"/>
          <w:szCs w:val="24"/>
        </w:rPr>
        <w:t>imento da interessada.”</w:t>
      </w:r>
    </w:p>
    <w:p w14:paraId="33A2E460" w14:textId="77777777" w:rsidR="000250C2" w:rsidRDefault="000250C2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</w:p>
    <w:p w14:paraId="0B200B06" w14:textId="77777777" w:rsidR="000250C2" w:rsidRDefault="007A4FB6">
      <w:pPr>
        <w:pStyle w:val="Corpodetexto2"/>
        <w:tabs>
          <w:tab w:val="left" w:pos="8364"/>
        </w:tabs>
        <w:spacing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Art. 3º A alínea “a” do inciso II do artigo 9º, da Lei 4.985, de 04 de julho de 2019, passa a viger com a seguinte redação: </w:t>
      </w:r>
    </w:p>
    <w:p w14:paraId="675397FB" w14:textId="77777777" w:rsidR="000250C2" w:rsidRDefault="007A4FB6">
      <w:pPr>
        <w:pStyle w:val="Corpodetexto2"/>
        <w:tabs>
          <w:tab w:val="left" w:pos="8364"/>
        </w:tabs>
        <w:spacing w:line="240" w:lineRule="auto"/>
        <w:ind w:left="1418" w:firstLine="1701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“Art. 9º (...)</w:t>
      </w:r>
    </w:p>
    <w:p w14:paraId="0CFA57DF" w14:textId="77777777" w:rsidR="000250C2" w:rsidRDefault="007A4FB6">
      <w:pPr>
        <w:pStyle w:val="Corpodetexto2"/>
        <w:tabs>
          <w:tab w:val="left" w:pos="8364"/>
        </w:tabs>
        <w:spacing w:line="240" w:lineRule="auto"/>
        <w:ind w:left="1418" w:firstLine="1701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II – (...)</w:t>
      </w:r>
    </w:p>
    <w:p w14:paraId="7B09B7C3" w14:textId="77777777" w:rsidR="000250C2" w:rsidRDefault="007A4FB6">
      <w:pPr>
        <w:pStyle w:val="Corpodetexto2"/>
        <w:tabs>
          <w:tab w:val="left" w:pos="8364"/>
        </w:tabs>
        <w:spacing w:line="240" w:lineRule="auto"/>
        <w:ind w:left="1418" w:firstLine="1701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(...)</w:t>
      </w:r>
    </w:p>
    <w:p w14:paraId="3EDBA50F" w14:textId="77777777" w:rsidR="000250C2" w:rsidRDefault="007A4FB6">
      <w:pPr>
        <w:pStyle w:val="NormalWeb"/>
        <w:shd w:val="clear" w:color="auto" w:fill="FFFFFF"/>
        <w:spacing w:before="0" w:beforeAutospacing="0" w:after="240" w:afterAutospacing="0"/>
        <w:ind w:left="1418" w:firstLine="170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a) cônjuge, companheiro ou parentes, consanguíneos ou afins, em linha reta ou colateral, até o terc</w:t>
      </w:r>
      <w:r>
        <w:rPr>
          <w:rFonts w:ascii="Arial" w:hAnsi="Arial" w:cs="Arial"/>
          <w:i/>
        </w:rPr>
        <w:t>eiro grau, do Prefeito, Vice-Prefeito, Diretores Municipais e Vereadores, podendo tal restrição ser suprida por declaração, caso não esteja prevista em estatuto;”</w:t>
      </w:r>
    </w:p>
    <w:p w14:paraId="0B57F59D" w14:textId="77777777" w:rsidR="000250C2" w:rsidRDefault="007A4FB6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4º O artigo 46 da Lei 4.985, de 04 de julho de 2019, passa a viger com a seguinte redaçã</w:t>
      </w:r>
      <w:r>
        <w:rPr>
          <w:rFonts w:ascii="Arial" w:hAnsi="Arial" w:cs="Arial"/>
          <w:bCs/>
          <w:sz w:val="24"/>
          <w:szCs w:val="24"/>
        </w:rPr>
        <w:t xml:space="preserve">o: </w:t>
      </w:r>
    </w:p>
    <w:p w14:paraId="48762E40" w14:textId="77777777" w:rsidR="000250C2" w:rsidRDefault="007A4FB6">
      <w:pPr>
        <w:pStyle w:val="Corpodetexto2"/>
        <w:tabs>
          <w:tab w:val="left" w:pos="8364"/>
        </w:tabs>
        <w:spacing w:after="240" w:line="240" w:lineRule="auto"/>
        <w:ind w:left="1276" w:firstLine="1843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“Art. 46 Nas hipóteses de a entidade pleiteante da habilitação como organização social existir há mais de 5 (cinco) anos, contados da data da publicação desta lei complementar, fica estipulado o prazo de 2 (dois) anos para adaptação das normas do respe</w:t>
      </w:r>
      <w:r>
        <w:rPr>
          <w:rFonts w:ascii="Arial" w:hAnsi="Arial" w:cs="Arial"/>
          <w:bCs/>
          <w:i/>
          <w:sz w:val="24"/>
          <w:szCs w:val="24"/>
        </w:rPr>
        <w:t>ctivo estatuto ao disposto no artigo 9.º, incisos de I a V.”</w:t>
      </w:r>
    </w:p>
    <w:p w14:paraId="78D91926" w14:textId="77777777" w:rsidR="000250C2" w:rsidRDefault="007A4FB6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5º Ficam revogados o inciso VIII do artigo 9º, artigos 47 e 48, todos da Lei 4.985, de 04 de julho de 2019.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 w14:paraId="3BA6C715" w14:textId="77777777" w:rsidR="000250C2" w:rsidRDefault="007A4FB6">
      <w:pPr>
        <w:pStyle w:val="Corpodetexto2"/>
        <w:tabs>
          <w:tab w:val="left" w:pos="8364"/>
        </w:tabs>
        <w:spacing w:after="240" w:line="240" w:lineRule="auto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Art. 6º Esta lei entra em vigor na data de sua publicação.</w:t>
      </w:r>
    </w:p>
    <w:p w14:paraId="08304946" w14:textId="77777777" w:rsidR="000250C2" w:rsidRDefault="007A4FB6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PREFEITURA DA ESTÂNC</w:t>
      </w:r>
      <w:r>
        <w:rPr>
          <w:rFonts w:ascii="Arial" w:hAnsi="Arial" w:cs="Arial"/>
          <w:b/>
          <w:snapToGrid w:val="0"/>
          <w:sz w:val="24"/>
          <w:szCs w:val="24"/>
        </w:rPr>
        <w:t>IA TURÍSTICA DE SÃO ROQUE, 04/11/2021</w:t>
      </w:r>
    </w:p>
    <w:p w14:paraId="3F77B156" w14:textId="77777777" w:rsidR="000250C2" w:rsidRDefault="000250C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6DDAFED7" w14:textId="77777777" w:rsidR="000250C2" w:rsidRDefault="000250C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056F6CB4" w14:textId="77777777" w:rsidR="000250C2" w:rsidRDefault="000250C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1EA9ECC4" w14:textId="77777777" w:rsidR="000250C2" w:rsidRDefault="000250C2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77ECD798" w14:textId="77777777" w:rsidR="000250C2" w:rsidRDefault="000250C2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5417CB7E" w14:textId="77777777" w:rsidR="000250C2" w:rsidRDefault="000250C2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14:paraId="2FE6828E" w14:textId="77777777" w:rsidR="000250C2" w:rsidRDefault="000250C2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14:paraId="392B5D00" w14:textId="77777777" w:rsidR="000250C2" w:rsidRDefault="000250C2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14:paraId="4F9B938E" w14:textId="77777777" w:rsidR="000250C2" w:rsidRDefault="007A4FB6">
      <w:pPr>
        <w:widowControl w:val="0"/>
        <w:tabs>
          <w:tab w:val="left" w:pos="3686"/>
        </w:tabs>
        <w:ind w:right="113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14:paraId="1E787E2A" w14:textId="77777777" w:rsidR="000250C2" w:rsidRDefault="007A4FB6">
      <w:pPr>
        <w:widowControl w:val="0"/>
        <w:tabs>
          <w:tab w:val="left" w:pos="3686"/>
        </w:tabs>
        <w:ind w:right="1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0250C2">
      <w:headerReference w:type="default" r:id="rId8"/>
      <w:pgSz w:w="11907" w:h="16840"/>
      <w:pgMar w:top="1843" w:right="1134" w:bottom="568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AB9B" w14:textId="77777777" w:rsidR="007A4FB6" w:rsidRDefault="007A4FB6">
      <w:r>
        <w:separator/>
      </w:r>
    </w:p>
  </w:endnote>
  <w:endnote w:type="continuationSeparator" w:id="0">
    <w:p w14:paraId="471535FD" w14:textId="77777777" w:rsidR="007A4FB6" w:rsidRDefault="007A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roman"/>
    <w:notTrueType/>
    <w:pitch w:val="default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CFA1" w14:textId="77777777" w:rsidR="007A4FB6" w:rsidRDefault="007A4FB6">
      <w:r>
        <w:separator/>
      </w:r>
    </w:p>
  </w:footnote>
  <w:footnote w:type="continuationSeparator" w:id="0">
    <w:p w14:paraId="74E162DE" w14:textId="77777777" w:rsidR="007A4FB6" w:rsidRDefault="007A4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8CF8" w14:textId="77777777" w:rsidR="000250C2" w:rsidRDefault="007A4FB6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9C141F" wp14:editId="42BC93BF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515AF5" w14:textId="77777777" w:rsidR="000250C2" w:rsidRDefault="007A4FB6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PREFEITURA  DA  ESTÂNCIA </w:t>
                          </w:r>
                        </w:p>
                        <w:p w14:paraId="121B5BB9" w14:textId="77777777" w:rsidR="000250C2" w:rsidRDefault="007A4FB6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  SÃO  ROQUE</w:t>
                          </w:r>
                        </w:p>
                        <w:p w14:paraId="3E9A7F48" w14:textId="77777777" w:rsidR="000250C2" w:rsidRDefault="007A4FB6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14:paraId="4811B40A" w14:textId="77777777" w:rsidR="000250C2" w:rsidRDefault="007A4FB6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São Roque – Terra do Vinho 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6A34B707" w14:textId="77777777" w:rsidR="000250C2" w:rsidRDefault="000250C2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C141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" stroked="f">
              <v:textbox>
                <w:txbxContent>
                  <w:p w14:paraId="7E515AF5" w14:textId="77777777" w:rsidR="000250C2" w:rsidRDefault="007A4FB6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PREFEITURA  DA  ESTÂNCIA </w:t>
                    </w:r>
                  </w:p>
                  <w:p w14:paraId="121B5BB9" w14:textId="77777777" w:rsidR="000250C2" w:rsidRDefault="007A4FB6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  SÃO  ROQUE</w:t>
                    </w:r>
                  </w:p>
                  <w:p w14:paraId="3E9A7F48" w14:textId="77777777" w:rsidR="000250C2" w:rsidRDefault="007A4FB6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14:paraId="4811B40A" w14:textId="77777777" w:rsidR="000250C2" w:rsidRDefault="007A4FB6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São Roque – Terra do Vinho 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14:paraId="6A34B707" w14:textId="77777777" w:rsidR="000250C2" w:rsidRDefault="000250C2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70EC12" w14:textId="77777777" w:rsidR="000250C2" w:rsidRDefault="007A4FB6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0" w:name="_30j0zll" w:colFirst="0" w:colLast="0"/>
    <w:bookmarkEnd w:id="0"/>
    <w:r>
      <w:rPr>
        <w:noProof/>
        <w:color w:val="000000"/>
      </w:rPr>
      <w:drawing>
        <wp:inline distT="0" distB="0" distL="114300" distR="114300" wp14:anchorId="577CDFDA" wp14:editId="6CA48363">
          <wp:extent cx="819785" cy="79057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47B"/>
    <w:multiLevelType w:val="hybridMultilevel"/>
    <w:tmpl w:val="BA1A3040"/>
    <w:lvl w:ilvl="0" w:tplc="9A1A424C">
      <w:start w:val="1"/>
      <w:numFmt w:val="lowerLetter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25A44BE0"/>
    <w:multiLevelType w:val="hybridMultilevel"/>
    <w:tmpl w:val="07B4ED1C"/>
    <w:lvl w:ilvl="0" w:tplc="DE5E444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77060495"/>
    <w:multiLevelType w:val="hybridMultilevel"/>
    <w:tmpl w:val="EF38EE94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C2"/>
    <w:rsid w:val="000250C2"/>
    <w:rsid w:val="007A4FB6"/>
    <w:rsid w:val="00F1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653C1"/>
  <w15:docId w15:val="{B8277729-BBAF-4B87-B375-D7BB280C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Fontepargpadro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highlight">
    <w:name w:val="highlight"/>
    <w:basedOn w:val="Fontepargpadro"/>
  </w:style>
  <w:style w:type="character" w:customStyle="1" w:styleId="normas-indices-artigo">
    <w:name w:val="normas-indices-artigo"/>
    <w:basedOn w:val="Fontepargpadro"/>
  </w:style>
  <w:style w:type="paragraph" w:styleId="Textodenotaderodap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dou-paragraph">
    <w:name w:val="dou-paragraph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D1CB-8F00-4483-B0BF-706DC0D4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scarlat</cp:lastModifiedBy>
  <cp:revision>2</cp:revision>
  <cp:lastPrinted>2021-09-02T19:48:00Z</cp:lastPrinted>
  <dcterms:created xsi:type="dcterms:W3CDTF">2021-11-11T19:46:00Z</dcterms:created>
  <dcterms:modified xsi:type="dcterms:W3CDTF">2021-11-11T19:46:00Z</dcterms:modified>
</cp:coreProperties>
</file>