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32A1" w14:textId="77777777" w:rsidR="00337621" w:rsidRPr="00CC2E02" w:rsidRDefault="00EC2361" w:rsidP="00BF4CA8">
      <w:pPr>
        <w:jc w:val="center"/>
        <w:outlineLvl w:val="0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 xml:space="preserve">COMISSÃO PERMANENTE DE ORÇAMENTO, </w:t>
      </w:r>
    </w:p>
    <w:p w14:paraId="0859ABE5" w14:textId="331072D9" w:rsidR="00337621" w:rsidRPr="004E62C8" w:rsidRDefault="00EC2361" w:rsidP="004E62C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>FINANÇAS E CONTABILIDADE</w:t>
      </w:r>
    </w:p>
    <w:p w14:paraId="7324350C" w14:textId="77777777" w:rsidR="00337621" w:rsidRPr="009A3CA2" w:rsidRDefault="00EC2361" w:rsidP="00BF4CA8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41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23/06/2022</w:t>
      </w:r>
    </w:p>
    <w:p w14:paraId="4F140ACA" w14:textId="77777777" w:rsidR="00337621" w:rsidRDefault="00337621" w:rsidP="00BF4CA8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2C233992" w14:textId="77777777" w:rsidR="001C086C" w:rsidRDefault="001C086C" w:rsidP="001C086C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Nº 69/2022-E</w:t>
      </w:r>
      <w:r>
        <w:rPr>
          <w:rFonts w:ascii="Tahoma" w:hAnsi="Tahoma" w:cs="Tahoma"/>
          <w:sz w:val="23"/>
        </w:rPr>
        <w:t>, 15/06/2022, de autoria do Poder Executivo.</w:t>
      </w:r>
    </w:p>
    <w:p w14:paraId="5C5F3BB1" w14:textId="77777777" w:rsidR="00337621" w:rsidRDefault="00337621" w:rsidP="00BF4CA8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C81D103" w14:textId="0A177961" w:rsidR="00337621" w:rsidRPr="002E5DE2" w:rsidRDefault="00EC2361" w:rsidP="00BF4CA8">
      <w:pPr>
        <w:pStyle w:val="Corpodetexto3"/>
        <w:spacing w:line="300" w:lineRule="exact"/>
        <w:ind w:right="0"/>
        <w:jc w:val="both"/>
        <w:outlineLvl w:val="0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caps/>
          <w:sz w:val="23"/>
          <w:szCs w:val="23"/>
          <w:u w:val="none"/>
        </w:rPr>
        <w:t>Relator:</w:t>
      </w:r>
      <w:r w:rsidRPr="002E5DE2">
        <w:rPr>
          <w:rFonts w:ascii="Tahoma" w:hAnsi="Tahoma" w:cs="Tahoma"/>
          <w:sz w:val="23"/>
          <w:szCs w:val="23"/>
          <w:u w:val="none"/>
        </w:rPr>
        <w:t xml:space="preserve"> </w:t>
      </w:r>
      <w:r w:rsidR="00203B08">
        <w:rPr>
          <w:rFonts w:ascii="Tahoma" w:hAnsi="Tahoma" w:cs="Tahoma"/>
          <w:b w:val="0"/>
          <w:bCs/>
          <w:sz w:val="23"/>
          <w:szCs w:val="23"/>
          <w:u w:val="none"/>
        </w:rPr>
        <w:t xml:space="preserve">Vereador </w:t>
      </w:r>
      <w:r w:rsidR="00261687">
        <w:rPr>
          <w:rFonts w:ascii="Tahoma" w:hAnsi="Tahoma" w:cs="Tahoma"/>
          <w:b w:val="0"/>
          <w:sz w:val="23"/>
          <w:szCs w:val="23"/>
          <w:u w:val="none"/>
        </w:rPr>
        <w:t>Rafael Tanzi de Araújo</w:t>
      </w:r>
      <w:r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2B3C4685" w14:textId="77777777" w:rsidR="00337621" w:rsidRPr="002E5DE2" w:rsidRDefault="00337621" w:rsidP="00BF4CA8">
      <w:pPr>
        <w:pStyle w:val="Corpodetexto3"/>
        <w:spacing w:line="300" w:lineRule="exact"/>
        <w:ind w:right="0"/>
        <w:jc w:val="both"/>
        <w:rPr>
          <w:rFonts w:ascii="Tahoma" w:hAnsi="Tahoma" w:cs="Tahoma"/>
          <w:b w:val="0"/>
          <w:sz w:val="23"/>
          <w:szCs w:val="23"/>
          <w:u w:val="none"/>
        </w:rPr>
      </w:pPr>
    </w:p>
    <w:p w14:paraId="426A1B68" w14:textId="77777777" w:rsidR="00337621" w:rsidRDefault="00EC2361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abertura de crédito adicional suplementar no valor de R$ 14.532.000,00 (quatorze milhões, quinhentos e trinta e dois mil reais).”</w:t>
      </w:r>
      <w:r>
        <w:rPr>
          <w:rFonts w:ascii="Tahoma" w:hAnsi="Tahoma" w:cs="Tahoma"/>
          <w:b/>
          <w:iCs/>
          <w:u w:val="single"/>
        </w:rPr>
        <w:t>.</w:t>
      </w:r>
    </w:p>
    <w:p w14:paraId="7BAA3C5E" w14:textId="77777777" w:rsidR="00337621" w:rsidRPr="002E5DE2" w:rsidRDefault="00EC2361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751EF7">
        <w:rPr>
          <w:rFonts w:ascii="Tahoma" w:hAnsi="Tahoma" w:cs="Tahoma"/>
          <w:bCs/>
          <w:sz w:val="22"/>
          <w:szCs w:val="22"/>
          <w:u w:val="none"/>
        </w:rPr>
        <w:tab/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O aludido Projeto de Lei foi objeto de apreciação por parte da 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Assessoria Jurídica desta Casa e pela Comissão Permanente de Constituição Justiça e Redação, onde recebeu pareceres FAVORÁVEIS, sendo, posteriormente, encaminhado a esta Comissão para ser analisado consoante as regras previstas no inciso III do artigo 78 d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o Regimento Interno desta Casa de Leis.</w:t>
      </w:r>
    </w:p>
    <w:p w14:paraId="4CDAEF50" w14:textId="77777777" w:rsidR="00337621" w:rsidRPr="002E5DE2" w:rsidRDefault="00EC2361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Na análise do projeto em questão, verificamos que o mesmo </w:t>
      </w:r>
      <w:r w:rsidRPr="002E5DE2">
        <w:rPr>
          <w:rFonts w:ascii="Tahoma" w:hAnsi="Tahoma" w:cs="Tahoma"/>
          <w:b w:val="0"/>
          <w:caps/>
          <w:sz w:val="23"/>
          <w:szCs w:val="23"/>
        </w:rPr>
        <w:t>não contraria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2E5DE2" w:rsidRDefault="00EC2361" w:rsidP="00C21E69">
      <w:pPr>
        <w:pStyle w:val="Corpodetexto3"/>
        <w:spacing w:after="120"/>
        <w:ind w:right="0" w:firstLine="2268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Portanto, somos FAVORÁVEIS à aprovação do Projeto de Lei no que diz respeito aos aspectos que cumpre a esta Comissão analisar, devidamen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te ressalvado o poder de deliberação do Egrégio Plenário desta Casa de Leis.</w:t>
      </w:r>
    </w:p>
    <w:p w14:paraId="6F88469F" w14:textId="77777777" w:rsidR="00337621" w:rsidRPr="002E5DE2" w:rsidRDefault="00EC2361" w:rsidP="00C21E69">
      <w:pPr>
        <w:pStyle w:val="Corpodetexto3"/>
        <w:spacing w:after="120"/>
        <w:ind w:right="0" w:firstLine="2268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É o parecer, sob os aspectos que compete a esta comissão analisar.</w:t>
      </w:r>
    </w:p>
    <w:p w14:paraId="5A0A2A6F" w14:textId="77777777" w:rsidR="00337621" w:rsidRPr="002E5DE2" w:rsidRDefault="00EC2361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 w:val="0"/>
          <w:sz w:val="23"/>
          <w:szCs w:val="23"/>
          <w:u w:val="none"/>
        </w:rPr>
        <w:t>Sala das Comissões,</w:t>
      </w:r>
      <w:r w:rsidRPr="00BF4CA8">
        <w:rPr>
          <w:rFonts w:ascii="Tahoma" w:hAnsi="Tahoma" w:cs="Tahoma"/>
          <w:b w:val="0"/>
          <w:sz w:val="21"/>
          <w:szCs w:val="21"/>
          <w:u w:val="none"/>
        </w:rPr>
        <w:t xml:space="preserve"> 1 de julho de 2022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6283B102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712A87A5" w14:textId="24953E96" w:rsidR="00337621" w:rsidRPr="002E5DE2" w:rsidRDefault="00EC2361" w:rsidP="00BF4CA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RAFAEL TANZI DE ARAÚJO</w:t>
      </w:r>
    </w:p>
    <w:p w14:paraId="07A2B0B1" w14:textId="77777777" w:rsidR="00337621" w:rsidRPr="002E5DE2" w:rsidRDefault="00EC2361" w:rsidP="00BF4CA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>Relator COPOFC</w:t>
      </w:r>
    </w:p>
    <w:p w14:paraId="07613193" w14:textId="77777777" w:rsidR="00337621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</w:p>
    <w:p w14:paraId="36B77B84" w14:textId="77777777" w:rsidR="00337621" w:rsidRPr="002E5DE2" w:rsidRDefault="00EC236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 xml:space="preserve">A Comissão Permanente de </w:t>
      </w:r>
      <w:r w:rsidRPr="002E5DE2">
        <w:rPr>
          <w:rFonts w:ascii="Tahoma" w:hAnsi="Tahoma" w:cs="Tahoma"/>
          <w:sz w:val="23"/>
          <w:szCs w:val="23"/>
        </w:rPr>
        <w:t>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8D44C9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42DF98A" w14:textId="77777777" w:rsidR="00337621" w:rsidRPr="002E5DE2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75844531" w14:textId="77777777" w:rsidR="00261687" w:rsidRDefault="00EC2361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</w:rPr>
              <w:t>THIAGO VIEIRA NUNES</w:t>
            </w:r>
          </w:p>
          <w:p w14:paraId="1F15BC9E" w14:textId="6E5F6B19" w:rsidR="00337621" w:rsidRPr="002E5DE2" w:rsidRDefault="00EC2361" w:rsidP="00261687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116CBA9" w14:textId="77777777" w:rsidR="00337621" w:rsidRPr="002E5DE2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1975FE2" w14:textId="77777777" w:rsidR="00261687" w:rsidRDefault="00EC2361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ISRAEL FRANCISCO DE OLIVEIRA</w:t>
            </w:r>
          </w:p>
          <w:p w14:paraId="174637F3" w14:textId="77777777" w:rsidR="00261687" w:rsidRDefault="00EC2361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VICE-PRESIDENTE CPOFC</w:t>
            </w:r>
          </w:p>
          <w:p w14:paraId="3F78FB44" w14:textId="0342B7F2" w:rsidR="00337621" w:rsidRPr="002E5DE2" w:rsidRDefault="00337621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</w:p>
        </w:tc>
      </w:tr>
      <w:tr w:rsidR="008D44C9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7211449" w14:textId="77777777" w:rsidR="004E62C8" w:rsidRPr="002E5DE2" w:rsidRDefault="004E62C8" w:rsidP="000E612B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C63EC04" w14:textId="77777777" w:rsidR="00261687" w:rsidRDefault="00EC2361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GUILHERME ARAÚJO NUNES</w:t>
            </w:r>
          </w:p>
          <w:p w14:paraId="60623403" w14:textId="77777777" w:rsidR="00261687" w:rsidRDefault="00EC2361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MEMBRO CPOFC</w:t>
            </w:r>
          </w:p>
          <w:p w14:paraId="32644E57" w14:textId="43C01EA1" w:rsidR="004E62C8" w:rsidRPr="002E5DE2" w:rsidRDefault="004E62C8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</w:p>
        </w:tc>
        <w:tc>
          <w:tcPr>
            <w:tcW w:w="4878" w:type="dxa"/>
          </w:tcPr>
          <w:p w14:paraId="10A7D877" w14:textId="77777777" w:rsidR="004E62C8" w:rsidRPr="002E5DE2" w:rsidRDefault="004E62C8" w:rsidP="000E612B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9F9182E" w14:textId="77777777" w:rsidR="00261687" w:rsidRDefault="00EC2361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NEWTON DIAS BASTOS</w:t>
            </w:r>
          </w:p>
          <w:p w14:paraId="3421488C" w14:textId="77777777" w:rsidR="00261687" w:rsidRDefault="00EC2361" w:rsidP="00261687">
            <w:pPr>
              <w:spacing w:line="256" w:lineRule="auto"/>
              <w:ind w:right="-109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MEMBRO CPOFC</w:t>
            </w:r>
          </w:p>
          <w:p w14:paraId="22D29B63" w14:textId="3BA37CD7" w:rsidR="004E62C8" w:rsidRPr="002E5DE2" w:rsidRDefault="004E62C8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</w:p>
        </w:tc>
      </w:tr>
    </w:tbl>
    <w:p w14:paraId="3EADAB4B" w14:textId="77777777" w:rsidR="00261687" w:rsidRPr="004E62C8" w:rsidRDefault="00261687" w:rsidP="00261687">
      <w:pPr>
        <w:tabs>
          <w:tab w:val="left" w:pos="3120"/>
        </w:tabs>
        <w:rPr>
          <w:rFonts w:ascii="Tahoma" w:hAnsi="Tahoma" w:cs="Tahoma"/>
          <w:sz w:val="23"/>
          <w:szCs w:val="23"/>
        </w:rPr>
      </w:pPr>
    </w:p>
    <w:sectPr w:rsidR="00261687" w:rsidRPr="004E62C8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A22B" w14:textId="77777777" w:rsidR="00EC2361" w:rsidRDefault="00EC2361">
      <w:r>
        <w:separator/>
      </w:r>
    </w:p>
  </w:endnote>
  <w:endnote w:type="continuationSeparator" w:id="0">
    <w:p w14:paraId="5641EC4F" w14:textId="77777777" w:rsidR="00EC2361" w:rsidRDefault="00EC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CD7A" w14:textId="77777777" w:rsidR="00EC2361" w:rsidRDefault="00EC2361">
      <w:r>
        <w:separator/>
      </w:r>
    </w:p>
  </w:footnote>
  <w:footnote w:type="continuationSeparator" w:id="0">
    <w:p w14:paraId="1CC5786F" w14:textId="77777777" w:rsidR="00EC2361" w:rsidRDefault="00EC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EC2361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67C8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EC2361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EC2361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EC2361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EC2361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9147B"/>
    <w:rsid w:val="001915A3"/>
    <w:rsid w:val="001C086C"/>
    <w:rsid w:val="001E6C52"/>
    <w:rsid w:val="00203B08"/>
    <w:rsid w:val="00217F62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751EF7"/>
    <w:rsid w:val="00850239"/>
    <w:rsid w:val="008D44C9"/>
    <w:rsid w:val="009A3CA2"/>
    <w:rsid w:val="00A40410"/>
    <w:rsid w:val="00A906D8"/>
    <w:rsid w:val="00AB5A74"/>
    <w:rsid w:val="00AE0B21"/>
    <w:rsid w:val="00B31750"/>
    <w:rsid w:val="00B6731D"/>
    <w:rsid w:val="00BF4CA8"/>
    <w:rsid w:val="00C21E69"/>
    <w:rsid w:val="00CC2E02"/>
    <w:rsid w:val="00D15DB8"/>
    <w:rsid w:val="00DC0B9B"/>
    <w:rsid w:val="00DE2FA8"/>
    <w:rsid w:val="00E41B6E"/>
    <w:rsid w:val="00EC2361"/>
    <w:rsid w:val="00EF7A3A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14</cp:revision>
  <dcterms:created xsi:type="dcterms:W3CDTF">2017-08-03T13:32:00Z</dcterms:created>
  <dcterms:modified xsi:type="dcterms:W3CDTF">2022-07-01T11:36:00Z</dcterms:modified>
</cp:coreProperties>
</file>