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0030" w:rsidRPr="001812FC" w:rsidRDefault="00000000" w:rsidP="003D0030">
      <w:pPr>
        <w:widowControl w:val="0"/>
        <w:ind w:right="-142"/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 xml:space="preserve">COMISSÃO PERMANENTE DE CONSTITUIÇÃO, </w:t>
      </w:r>
      <w:r w:rsidRPr="001812FC">
        <w:rPr>
          <w:rFonts w:ascii="Arial" w:hAnsi="Arial" w:cs="Arial"/>
          <w:b/>
          <w:caps/>
          <w:u w:val="single"/>
        </w:rPr>
        <w:t>JUSTIÇA E REDAÇÃO</w:t>
      </w:r>
    </w:p>
    <w:p w:rsidR="003D0030" w:rsidRPr="001812FC" w:rsidRDefault="00000000" w:rsidP="003D0030">
      <w:pPr>
        <w:pStyle w:val="Ttulo4"/>
        <w:ind w:left="3402" w:right="-142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1812FC">
        <w:rPr>
          <w:rFonts w:ascii="Arial" w:hAnsi="Arial" w:cs="Arial"/>
          <w:i w:val="0"/>
          <w:iCs w:val="0"/>
          <w:color w:val="auto"/>
          <w:sz w:val="24"/>
          <w:szCs w:val="24"/>
        </w:rPr>
        <w:t xml:space="preserve">REDAÇÃO FINAL AO </w:t>
      </w:r>
    </w:p>
    <w:p w:rsidR="003D0030" w:rsidRPr="001812FC" w:rsidRDefault="00000000" w:rsidP="003D0030">
      <w:pPr>
        <w:widowControl w:val="0"/>
        <w:kinsoku w:val="0"/>
        <w:ind w:left="3402" w:right="-142"/>
        <w:outlineLvl w:val="8"/>
        <w:rPr>
          <w:rFonts w:ascii="Arial" w:hAnsi="Arial" w:cs="Arial"/>
          <w:b/>
          <w:bCs/>
        </w:rPr>
      </w:pPr>
      <w:r w:rsidRPr="001812FC">
        <w:rPr>
          <w:rFonts w:ascii="Arial" w:hAnsi="Arial" w:cs="Arial"/>
          <w:b/>
          <w:bCs/>
        </w:rPr>
        <w:t xml:space="preserve">Projeto de Lei Complementar Nº 4/2023-E, DE 17/08/2023 </w:t>
      </w:r>
    </w:p>
    <w:p w:rsidR="003D0030" w:rsidRPr="001812FC" w:rsidRDefault="00000000" w:rsidP="003D0030">
      <w:pPr>
        <w:keepNext/>
        <w:ind w:left="3402" w:right="-142"/>
        <w:jc w:val="both"/>
        <w:outlineLvl w:val="8"/>
        <w:rPr>
          <w:rFonts w:ascii="Arial" w:hAnsi="Arial" w:cs="Arial"/>
          <w:b/>
          <w:bCs/>
        </w:rPr>
      </w:pPr>
      <w:r w:rsidRPr="001812FC">
        <w:rPr>
          <w:rFonts w:ascii="Arial" w:hAnsi="Arial" w:cs="Arial"/>
          <w:b/>
          <w:bCs/>
        </w:rPr>
        <w:t xml:space="preserve">(De autoria do Poder Executivo) </w:t>
      </w:r>
    </w:p>
    <w:p w:rsidR="003D0030" w:rsidRDefault="003D0030" w:rsidP="003D0030">
      <w:pPr>
        <w:keepNext/>
        <w:ind w:left="3402" w:right="-142"/>
        <w:jc w:val="both"/>
        <w:outlineLvl w:val="8"/>
        <w:rPr>
          <w:rFonts w:ascii="Arial" w:hAnsi="Arial" w:cs="Arial"/>
          <w:b/>
          <w:i/>
        </w:rPr>
      </w:pPr>
    </w:p>
    <w:p w:rsidR="003D0030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i/>
        </w:rPr>
        <w:t>Dispõe sobre a regularização de edificações e a quitação de débitos relativos a elas</w:t>
      </w:r>
    </w:p>
    <w:p w:rsidR="003D0030" w:rsidRDefault="003D0030" w:rsidP="003D0030">
      <w:pPr>
        <w:widowControl w:val="0"/>
        <w:ind w:left="3402" w:right="-142"/>
        <w:jc w:val="both"/>
        <w:rPr>
          <w:rFonts w:ascii="Arial" w:hAnsi="Arial" w:cs="Arial"/>
        </w:rPr>
      </w:pPr>
    </w:p>
    <w:p w:rsidR="003D0030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</w:rPr>
        <w:t xml:space="preserve">O Prefeito da Estância Turística de São Roque, no uso de suas </w:t>
      </w:r>
      <w:r>
        <w:rPr>
          <w:rFonts w:ascii="Arial" w:hAnsi="Arial" w:cs="Arial"/>
          <w:bCs/>
          <w:snapToGrid w:val="0"/>
        </w:rPr>
        <w:t>atribuições legais,</w:t>
      </w:r>
    </w:p>
    <w:p w:rsidR="003D0030" w:rsidRPr="00CA5BD2" w:rsidRDefault="003D0030" w:rsidP="003D0030">
      <w:pPr>
        <w:keepLines/>
        <w:widowControl w:val="0"/>
        <w:tabs>
          <w:tab w:val="left" w:pos="7371"/>
          <w:tab w:val="left" w:pos="7797"/>
        </w:tabs>
        <w:ind w:left="3402" w:right="-142"/>
        <w:jc w:val="both"/>
        <w:rPr>
          <w:rFonts w:ascii="Arial" w:hAnsi="Arial" w:cs="Arial"/>
          <w:snapToGrid w:val="0"/>
        </w:rPr>
      </w:pPr>
    </w:p>
    <w:p w:rsidR="003D0030" w:rsidRDefault="00000000" w:rsidP="003D0030">
      <w:pPr>
        <w:widowControl w:val="0"/>
        <w:ind w:left="3402" w:right="-142"/>
        <w:jc w:val="both"/>
        <w:rPr>
          <w:rFonts w:ascii="Arial" w:hAnsi="Arial" w:cs="Arial"/>
          <w:bCs/>
          <w:snapToGrid w:val="0"/>
        </w:rPr>
      </w:pPr>
      <w:r w:rsidRPr="00CA5BD2">
        <w:rPr>
          <w:rFonts w:ascii="Arial" w:hAnsi="Arial" w:cs="Arial"/>
          <w:bCs/>
          <w:snapToGrid w:val="0"/>
        </w:rPr>
        <w:t>Faço</w:t>
      </w:r>
      <w:r>
        <w:rPr>
          <w:rFonts w:ascii="Arial" w:hAnsi="Arial" w:cs="Arial"/>
          <w:bCs/>
          <w:snapToGrid w:val="0"/>
        </w:rPr>
        <w:t xml:space="preserve"> saber que a Câmara Municipal da Estância Turística de São Roque decreta e eu promulgo a seguinte Lei:</w:t>
      </w:r>
    </w:p>
    <w:p w:rsidR="003D0030" w:rsidRDefault="003D0030" w:rsidP="003D0030">
      <w:pPr>
        <w:ind w:right="-142" w:firstLine="3402"/>
        <w:jc w:val="both"/>
        <w:rPr>
          <w:rFonts w:ascii="Arial" w:hAnsi="Arial" w:cs="Arial"/>
          <w:bCs/>
        </w:rPr>
      </w:pP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>Art. 1º</w:t>
      </w:r>
      <w:r>
        <w:rPr>
          <w:rFonts w:ascii="Arial" w:hAnsi="Arial" w:cs="Arial"/>
        </w:rPr>
        <w:t xml:space="preserve"> Fica autorizada a regularização de edificações, independentemente das infrações à legislação edilícia, concluídas até 22 de setembro de 2022 e situadas em qualquer zona de uso, desde que tenham condições mínimas de estabilidade, habitabilidade, salubridade, higiene, segurança de uso e atendidas as condições estabelecidas nesta Lei.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§1º </w:t>
      </w:r>
      <w:r>
        <w:rPr>
          <w:rFonts w:ascii="Arial" w:hAnsi="Arial" w:cs="Arial"/>
        </w:rPr>
        <w:t>Considera-se edificação concluída aquela que tenha condições de habitabilidade, contendo, no mínimo, paredes erguidas e a cobertura executada na data referida no caput deste artigo, observando-se, também, as definições do artigo 2º da Lei Complementar nº 41, de 22 de novembro de 2006, no que for necessário.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§ 2º A Prefeitura poderá exigir obras de adequação para garantir a acessibilidade, a segurança, a higiene, a salubridade e o respeito ao direito de vizinhança, que caso não sejam atendidas, culminarão na impossibilidade de regularização.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§ 3º </w:t>
      </w:r>
      <w:r>
        <w:rPr>
          <w:rFonts w:ascii="Arial" w:hAnsi="Arial" w:cs="Arial"/>
        </w:rPr>
        <w:t>Para a execução das obras referidas no § 2º deste artigo será concedido prazo máximo de 60 (sessenta) dias.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4º Caso as edificações possuam tanques de armazenamento de produtos químicos, inflamáveis e/ou explosivos nos estados </w:t>
      </w:r>
      <w:r>
        <w:rPr>
          <w:rFonts w:ascii="Arial" w:hAnsi="Arial" w:cs="Arial"/>
        </w:rPr>
        <w:lastRenderedPageBreak/>
        <w:t>sólidos, líquidos ou gasosos, a regularização abrangerá somente a edificação. A regularização desses equipamentos dependerá de pedidos subordinados ao atendimento da legislação específica e respectivas normas técnicas, por ocasião do pedido do Alvará de Funcionamento de Equipamentos, todas elas condicionadas à aprovação do Corpo de Bombeiros.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§ 5º Para a regularização de edificações de que trata esta Lei não serão consideradas as restrições de uso e atividades, bem como a limitação da área construída máxima computável e total.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§ 6º A regularização de que trata esta Lei fica condicionada ao pagamento da taxa de regularização que corresponde a 30% do resultado do cálculo da outorga onerosa do art. 43 da Lei Complementar nº 39 de 08 de novembro de 2006, sobre a respectiva área excedente ao que seja regularizável na respectiva legislação.</w:t>
      </w:r>
    </w:p>
    <w:p w:rsidR="00E2721C" w:rsidRDefault="00E2721C" w:rsidP="00E2721C">
      <w:pPr>
        <w:spacing w:after="120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O interessado deverá protocolar, através do sistema de protocolo digital do Município, o pedido de concessão de anistia impreterivelmente até o dia 31 de dezembro de 2023</w:t>
      </w:r>
    </w:p>
    <w:p w:rsidR="00E2721C" w:rsidRDefault="00E2721C" w:rsidP="00E2721C">
      <w:pPr>
        <w:spacing w:after="120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§ 1º O pedido deverá ser instruído com os documentos solicitados pelo Decreto Municipal nº 9.733, de 1º de dezembro de 2021, que regulamenta os Artigos 14 e 15 da Lei Complementar nº 41, de 22 de novembro de 2006, em conjunto com os seguintes documentos:</w:t>
      </w:r>
    </w:p>
    <w:p w:rsidR="00E2721C" w:rsidRDefault="00E2721C" w:rsidP="00E2721C">
      <w:pPr>
        <w:spacing w:after="120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comprovantes</w:t>
      </w:r>
      <w:proofErr w:type="gramEnd"/>
      <w:r>
        <w:rPr>
          <w:rFonts w:ascii="Arial" w:hAnsi="Arial" w:cs="Arial"/>
        </w:rPr>
        <w:t xml:space="preserve"> de recolhimento:</w:t>
      </w:r>
    </w:p>
    <w:p w:rsidR="00E2721C" w:rsidRDefault="00E2721C" w:rsidP="00E2721C">
      <w:pPr>
        <w:spacing w:after="120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a) taxa de expediente;</w:t>
      </w:r>
    </w:p>
    <w:p w:rsidR="00E2721C" w:rsidRDefault="00E2721C" w:rsidP="00E2721C">
      <w:pPr>
        <w:spacing w:after="120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b) taxa de regularização que corresponde a 30% do resultado do cálculo da outorga onerosa do art. 43 da Lei Complementar nº 39 de 08 de novembro de 2006, sobre a respectiva área excedente ao que seja regularizável na respectiva legislação;</w:t>
      </w:r>
    </w:p>
    <w:p w:rsidR="00E2721C" w:rsidRDefault="00E2721C" w:rsidP="00E2721C">
      <w:pPr>
        <w:spacing w:after="120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comprovante</w:t>
      </w:r>
      <w:proofErr w:type="gramEnd"/>
      <w:r>
        <w:rPr>
          <w:rFonts w:ascii="Arial" w:hAnsi="Arial" w:cs="Arial"/>
        </w:rPr>
        <w:t xml:space="preserve"> de recolhimento ou parcelamento: </w:t>
      </w:r>
    </w:p>
    <w:p w:rsidR="00E2721C" w:rsidRDefault="00E2721C" w:rsidP="00E2721C">
      <w:pPr>
        <w:numPr>
          <w:ilvl w:val="0"/>
          <w:numId w:val="1"/>
        </w:numPr>
        <w:spacing w:after="120"/>
        <w:ind w:left="0"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imposto sobre Serviços de Qualquer Natureza (ISSQN), relativo à área regularizada.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right="-1"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§ 2º No caso da alínea “a”, inciso II, do § 1º deste artigo, serão respeitados os casos de decadência de constituição do crédito tributário.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lastRenderedPageBreak/>
        <w:t>Art. 3º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</w:rPr>
        <w:t>Não serão passíveis de regularização as edificações que: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 - </w:t>
      </w:r>
      <w:proofErr w:type="gramStart"/>
      <w:r>
        <w:rPr>
          <w:rFonts w:ascii="Arial" w:hAnsi="Arial" w:cs="Arial"/>
        </w:rPr>
        <w:t>estejam</w:t>
      </w:r>
      <w:proofErr w:type="gramEnd"/>
      <w:r>
        <w:rPr>
          <w:rFonts w:ascii="Arial" w:hAnsi="Arial" w:cs="Arial"/>
        </w:rPr>
        <w:t xml:space="preserve"> em logradouros ou terrenos públicos, ou que avancem sobre eles;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II - </w:t>
      </w:r>
      <w:proofErr w:type="gramStart"/>
      <w:r>
        <w:rPr>
          <w:rFonts w:ascii="Arial" w:hAnsi="Arial" w:cs="Arial"/>
        </w:rPr>
        <w:t>estejam</w:t>
      </w:r>
      <w:proofErr w:type="gramEnd"/>
      <w:r>
        <w:rPr>
          <w:rFonts w:ascii="Arial" w:hAnsi="Arial" w:cs="Arial"/>
        </w:rPr>
        <w:t xml:space="preserve"> "</w:t>
      </w:r>
      <w:r>
        <w:rPr>
          <w:rFonts w:ascii="Arial" w:hAnsi="Arial" w:cs="Arial"/>
          <w:i/>
        </w:rPr>
        <w:t>sub judice</w:t>
      </w:r>
      <w:r>
        <w:rPr>
          <w:rFonts w:ascii="Arial" w:hAnsi="Arial" w:cs="Arial"/>
        </w:rPr>
        <w:t>" em ações relacionadas à execução de obras irregulares;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III - </w:t>
      </w:r>
      <w:r>
        <w:rPr>
          <w:rFonts w:ascii="Arial" w:hAnsi="Arial" w:cs="Arial"/>
        </w:rPr>
        <w:t>estejam situadas em faixas não edificáveis junto a represas, lagos, lagoas, rios, córregos, fundo de vale, faixa de escoamento de águas pluviais, galerias, canalizações e linhas de transmissão de energia de alta tensão ou em áreas atingidas por melhoramentos viários previstos em Lei;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  <w:caps/>
        </w:rPr>
      </w:pPr>
      <w:r>
        <w:rPr>
          <w:rFonts w:ascii="Arial" w:hAnsi="Arial" w:cs="Arial"/>
          <w:shd w:val="clear" w:color="auto" w:fill="FFFFFF"/>
        </w:rPr>
        <w:t xml:space="preserve">IV </w:t>
      </w:r>
      <w:proofErr w:type="gramStart"/>
      <w:r>
        <w:rPr>
          <w:rFonts w:ascii="Arial" w:hAnsi="Arial" w:cs="Arial"/>
          <w:shd w:val="clear" w:color="auto" w:fill="FFFFFF"/>
        </w:rPr>
        <w:t>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aps/>
        </w:rPr>
        <w:t xml:space="preserve"> suprimido</w:t>
      </w:r>
      <w:proofErr w:type="gramEnd"/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V - </w:t>
      </w:r>
      <w:proofErr w:type="gramStart"/>
      <w:r>
        <w:rPr>
          <w:rFonts w:ascii="Arial" w:hAnsi="Arial" w:cs="Arial"/>
        </w:rPr>
        <w:t>contrariem</w:t>
      </w:r>
      <w:proofErr w:type="gramEnd"/>
      <w:r>
        <w:rPr>
          <w:rFonts w:ascii="Arial" w:hAnsi="Arial" w:cs="Arial"/>
        </w:rPr>
        <w:t xml:space="preserve"> as normas de direito de vizinhança, expressas no Capítulo V, da Lei 10.406, de 10 de janeiro de 2002 (Código Civil);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VI - </w:t>
      </w:r>
      <w:proofErr w:type="gramStart"/>
      <w:r>
        <w:rPr>
          <w:rFonts w:ascii="Arial" w:hAnsi="Arial" w:cs="Arial"/>
        </w:rPr>
        <w:t>estejam</w:t>
      </w:r>
      <w:proofErr w:type="gramEnd"/>
      <w:r>
        <w:rPr>
          <w:rFonts w:ascii="Arial" w:hAnsi="Arial" w:cs="Arial"/>
        </w:rPr>
        <w:t xml:space="preserve"> destinadas a atividades em desacordo com a legislação municipal de uso e ocupação do solo;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</w:rPr>
        <w:t>VII - estejam em loteamento embargado judicialmente;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shd w:val="clear" w:color="auto" w:fill="FFFFFF"/>
        </w:rPr>
        <w:t xml:space="preserve">VIII - </w:t>
      </w:r>
      <w:r>
        <w:rPr>
          <w:rFonts w:ascii="Arial" w:hAnsi="Arial" w:cs="Arial"/>
        </w:rPr>
        <w:t>contrariem as restrições urbanísticas impostas pelo loteador no momento da aprovação e/ou registro do loteamento, que permanecerão íntegras, obrigando a todos os proprietários ou adquirentes de lotes.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Art. 4º</w:t>
      </w:r>
      <w:r>
        <w:rPr>
          <w:rFonts w:ascii="Arial" w:hAnsi="Arial" w:cs="Arial"/>
          <w:shd w:val="clear" w:color="auto" w:fill="FFFFFF"/>
        </w:rPr>
        <w:t xml:space="preserve"> A regularização de que cuida esta Lei Complementar não implica reconhecimento, pela Prefeitura, da propriedade, das dimensões e da regularidade do lote, não eximindo os proprietários de glebas parceladas, ou os respectivos responsáveis, das obrigações e responsabilidades decorrentes da aplicação da legislação de parcelamento do solo.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lastRenderedPageBreak/>
        <w:t>Art. 5º</w:t>
      </w:r>
      <w:r>
        <w:rPr>
          <w:rFonts w:ascii="Arial" w:hAnsi="Arial" w:cs="Arial"/>
          <w:shd w:val="clear" w:color="auto" w:fill="FFFFFF"/>
        </w:rPr>
        <w:t xml:space="preserve"> A regularização das edificações enquadradas nas situações abaixo dependerá de prévia anuência ou autorização do órgão competente: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 - </w:t>
      </w:r>
      <w:proofErr w:type="gramStart"/>
      <w:r>
        <w:rPr>
          <w:rFonts w:ascii="Arial" w:hAnsi="Arial" w:cs="Arial"/>
          <w:shd w:val="clear" w:color="auto" w:fill="FFFFFF"/>
        </w:rPr>
        <w:t>tombadas</w:t>
      </w:r>
      <w:proofErr w:type="gramEnd"/>
      <w:r>
        <w:rPr>
          <w:rFonts w:ascii="Arial" w:hAnsi="Arial" w:cs="Arial"/>
          <w:shd w:val="clear" w:color="auto" w:fill="FFFFFF"/>
        </w:rPr>
        <w:t>, preservadas, contidas em perímetro de área tombada ou localizadas no raio envoltório do bem tombado;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II - </w:t>
      </w:r>
      <w:proofErr w:type="gramStart"/>
      <w:r>
        <w:rPr>
          <w:rFonts w:ascii="Arial" w:hAnsi="Arial" w:cs="Arial"/>
          <w:shd w:val="clear" w:color="auto" w:fill="FFFFFF"/>
        </w:rPr>
        <w:t>situadas</w:t>
      </w:r>
      <w:proofErr w:type="gramEnd"/>
      <w:r>
        <w:rPr>
          <w:rFonts w:ascii="Arial" w:hAnsi="Arial" w:cs="Arial"/>
          <w:shd w:val="clear" w:color="auto" w:fill="FFFFFF"/>
        </w:rPr>
        <w:t xml:space="preserve"> em área de proteção dos mananciais, ambientais ou de preservação permanente – APP;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III - que abriguem atividades sujeitas a licenciamento ambiental.</w:t>
      </w:r>
    </w:p>
    <w:p w:rsidR="00E2721C" w:rsidRDefault="00E2721C" w:rsidP="00E2721C">
      <w:pPr>
        <w:widowControl w:val="0"/>
        <w:tabs>
          <w:tab w:val="left" w:pos="3960"/>
          <w:tab w:val="left" w:pos="9781"/>
        </w:tabs>
        <w:autoSpaceDE w:val="0"/>
        <w:autoSpaceDN w:val="0"/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Art. 6º</w:t>
      </w:r>
      <w:r>
        <w:rPr>
          <w:rFonts w:ascii="Arial" w:hAnsi="Arial" w:cs="Arial"/>
          <w:shd w:val="clear" w:color="auto" w:fill="FFFFFF"/>
        </w:rPr>
        <w:t xml:space="preserve"> As edificações destinadas ao uso industrial poderão gozar dos benefícios desta Lei Complementar, desde que atendam as demais exigências das legislações federal, estadual e municipal.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Art. 7º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As construções que tenham sido erigidas sem observância dos recuos frontais mínimos estabelecidos em Lei, poderão ser regularizados perante a Municipalidade, desde que seus legítimos proprietários renunciem, expressamente, em favor da Municipalidade, a qualquer pretensão de indenização em decorrência de tal desconformidade, renúncia esta que deverá constar do projeto apresentado para regularização e também do respectivo alvará a ser expedido pelo Departamento de Planejamento e Meio Ambiente.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  <w:shd w:val="clear" w:color="auto" w:fill="FFFFFF"/>
        </w:rPr>
        <w:t>Art. 8º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A Prefeitura, através do seu órgão competente, poderá, a qualquer tempo, mesmo depois de efetuada a regularização, verificar a veracidade das informações e as condições de estabilidade, de acessibilidade, de segurança de uso das edificações e de respeito ao direito de vizinhança.</w:t>
      </w:r>
    </w:p>
    <w:p w:rsidR="00E2721C" w:rsidRDefault="00E2721C" w:rsidP="00E2721C">
      <w:pPr>
        <w:pStyle w:val="Corpodetexto2"/>
        <w:tabs>
          <w:tab w:val="left" w:pos="8364"/>
        </w:tabs>
        <w:spacing w:after="240" w:line="276" w:lineRule="auto"/>
        <w:ind w:firstLine="311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Parágrafo único. Constatada, a qualquer tempo, divergência nas informações ou discrepância nos valores recolhidos, o interessado será notificado a saná-las ou a prestar esclarecimentos, no prazo de 30 (trinta) dias, sob pena de ser tornada nula a regularização da edificação e aplicadas as sanções cabíveis.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</w:rPr>
      </w:pPr>
      <w:r>
        <w:rPr>
          <w:rFonts w:ascii="Arial" w:hAnsi="Arial" w:cs="Arial"/>
          <w:bCs/>
          <w:shd w:val="clear" w:color="auto" w:fill="FFFFFF"/>
        </w:rPr>
        <w:lastRenderedPageBreak/>
        <w:t>Art. 9º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</w:rPr>
        <w:t>Fica autorizado o parcelamento do pagamento das multas e Imposto Sobre Serviços de Qualquer Natureza – ISSQN apurado no procedimento de regularização de que trata esta Lei Complementar, em até 10 (dez) parcelas fixas mensais, respeitado o valor mínimo de 40% da UFM por parcela.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Cs/>
          <w:shd w:val="clear" w:color="auto" w:fill="FFFFFF"/>
        </w:rPr>
        <w:t>Art. 10.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zCs w:val="21"/>
        </w:rPr>
        <w:t>As despesas com a execução desta Lei Complementar correrão por conta das dotações orçamentárias próprias, suplementadas se necessário.</w:t>
      </w:r>
    </w:p>
    <w:p w:rsidR="00E2721C" w:rsidRDefault="00E2721C" w:rsidP="00E2721C">
      <w:pPr>
        <w:pStyle w:val="NormalWeb"/>
        <w:shd w:val="clear" w:color="auto" w:fill="FFFFFF"/>
        <w:spacing w:before="0" w:beforeAutospacing="0" w:after="240" w:afterAutospacing="0" w:line="276" w:lineRule="auto"/>
        <w:ind w:firstLine="3119"/>
        <w:jc w:val="both"/>
        <w:rPr>
          <w:rFonts w:ascii="Arial" w:hAnsi="Arial" w:cs="Arial"/>
          <w:szCs w:val="21"/>
        </w:rPr>
      </w:pPr>
      <w:r>
        <w:rPr>
          <w:rFonts w:ascii="Arial" w:hAnsi="Arial" w:cs="Arial"/>
          <w:bCs/>
          <w:shd w:val="clear" w:color="auto" w:fill="FFFFFF"/>
        </w:rPr>
        <w:t xml:space="preserve">Art. 11. 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Fonts w:ascii="Arial" w:hAnsi="Arial" w:cs="Arial"/>
          <w:szCs w:val="21"/>
        </w:rPr>
        <w:t>Esta Lei Complementar entra em vigor na data de sua publicação.</w:t>
      </w:r>
    </w:p>
    <w:p w:rsidR="006D68D7" w:rsidRDefault="006D68D7" w:rsidP="003D0030">
      <w:pPr>
        <w:ind w:right="-142" w:firstLine="3402"/>
        <w:jc w:val="both"/>
        <w:rPr>
          <w:rFonts w:ascii="Arial" w:hAnsi="Arial" w:cs="Arial"/>
          <w:bCs/>
        </w:rPr>
      </w:pPr>
    </w:p>
    <w:p w:rsidR="003D0030" w:rsidRDefault="003D0030" w:rsidP="003D0030">
      <w:pPr>
        <w:widowControl w:val="0"/>
        <w:ind w:right="-142"/>
        <w:jc w:val="both"/>
        <w:rPr>
          <w:rFonts w:ascii="Arial" w:hAnsi="Arial" w:cs="Arial"/>
          <w:snapToGrid w:val="0"/>
        </w:rPr>
      </w:pPr>
    </w:p>
    <w:p w:rsidR="003D0030" w:rsidRDefault="00000000" w:rsidP="003D0030">
      <w:pPr>
        <w:widowControl w:val="0"/>
        <w:ind w:left="3402" w:right="-14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Sala das Comissões “Dr. Júlio Arantes de Freitas”, 4 de setembro de 2023.</w:t>
      </w:r>
    </w:p>
    <w:p w:rsidR="003D0030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</w:rPr>
      </w:pPr>
    </w:p>
    <w:p w:rsidR="003D0030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D0030" w:rsidRDefault="003D0030" w:rsidP="003D0030">
      <w:pPr>
        <w:widowControl w:val="0"/>
        <w:tabs>
          <w:tab w:val="left" w:pos="3686"/>
        </w:tabs>
        <w:ind w:right="-142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3D0030" w:rsidRDefault="00000000" w:rsidP="003D0030">
      <w:pPr>
        <w:ind w:right="-142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</w:rPr>
        <w:t>GUILHERME ARAÚJO NUNES</w:t>
      </w:r>
    </w:p>
    <w:p w:rsidR="003D0030" w:rsidRDefault="00000000" w:rsidP="003D0030">
      <w:pPr>
        <w:pStyle w:val="Corpodetexto3"/>
        <w:spacing w:after="0"/>
        <w:ind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CPCJR</w:t>
      </w:r>
    </w:p>
    <w:p w:rsidR="003D0030" w:rsidRDefault="003D0030" w:rsidP="003D0030">
      <w:pPr>
        <w:tabs>
          <w:tab w:val="left" w:pos="8460"/>
        </w:tabs>
        <w:ind w:right="-142"/>
        <w:rPr>
          <w:rFonts w:ascii="Arial" w:hAnsi="Arial" w:cs="Arial"/>
        </w:rPr>
      </w:pPr>
    </w:p>
    <w:tbl>
      <w:tblPr>
        <w:tblW w:w="9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399"/>
        <w:gridCol w:w="4399"/>
        <w:gridCol w:w="104"/>
      </w:tblGrid>
      <w:tr w:rsidR="007328E9" w:rsidTr="007871AA">
        <w:trPr>
          <w:gridBefore w:val="1"/>
          <w:gridAfter w:val="1"/>
          <w:wBefore w:w="491" w:type="dxa"/>
          <w:wAfter w:w="104" w:type="dxa"/>
          <w:trHeight w:val="573"/>
          <w:jc w:val="center"/>
        </w:trPr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71AA" w:rsidRDefault="00000000" w:rsidP="007871AA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WILLIAM DA SILVA ALBUQUERQUE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VICE-PRESIDENTE CPCJR</w:t>
            </w:r>
          </w:p>
          <w:p w:rsidR="003D0030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D0030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CLÁUDIA RITA DUARTE PEDROSO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</w:t>
            </w:r>
            <w:r w:rsidR="007871AA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CRETÁRI</w:t>
            </w:r>
            <w:r w:rsidR="007871AA">
              <w:rPr>
                <w:rFonts w:ascii="Arial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CPCJR</w:t>
            </w:r>
          </w:p>
        </w:tc>
      </w:tr>
      <w:tr w:rsidR="007328E9" w:rsidTr="007871AA">
        <w:trPr>
          <w:trHeight w:val="573"/>
          <w:jc w:val="center"/>
        </w:trPr>
        <w:tc>
          <w:tcPr>
            <w:tcW w:w="48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0030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MARCOS ROBERTO MARTINS ARRUDA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:rsidR="003D0030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D0030" w:rsidRDefault="0000000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PAULO ROGÉRIO NOGGERINI JÚNIOR.</w:t>
            </w:r>
          </w:p>
          <w:p w:rsidR="003D0030" w:rsidRDefault="00000000" w:rsidP="003D0030">
            <w:pPr>
              <w:pStyle w:val="Corpodetexto3"/>
              <w:spacing w:after="0"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MEMBRO CPCJR</w:t>
            </w:r>
          </w:p>
          <w:p w:rsidR="003D0030" w:rsidRDefault="003D0030" w:rsidP="003D0030">
            <w:pPr>
              <w:spacing w:line="254" w:lineRule="auto"/>
              <w:ind w:right="-142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7B3E" w:rsidRDefault="00A77B3E" w:rsidP="003D0030">
      <w:pPr>
        <w:ind w:right="-142"/>
      </w:pPr>
    </w:p>
    <w:sectPr w:rsidR="00A77B3E" w:rsidSect="003D0030">
      <w:headerReference w:type="default" r:id="rId7"/>
      <w:pgSz w:w="12240" w:h="15840"/>
      <w:pgMar w:top="1417" w:right="1325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126" w:rsidRDefault="001B1126">
      <w:r>
        <w:separator/>
      </w:r>
    </w:p>
  </w:endnote>
  <w:endnote w:type="continuationSeparator" w:id="0">
    <w:p w:rsidR="001B1126" w:rsidRDefault="001B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126" w:rsidRDefault="001B1126">
      <w:r>
        <w:separator/>
      </w:r>
    </w:p>
  </w:footnote>
  <w:footnote w:type="continuationSeparator" w:id="0">
    <w:p w:rsidR="001B1126" w:rsidRDefault="001B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0030" w:rsidRDefault="00000000" w:rsidP="003D0030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914400</wp:posOffset>
          </wp:positionH>
          <wp:positionV relativeFrom="page">
            <wp:posOffset>768985</wp:posOffset>
          </wp:positionV>
          <wp:extent cx="699770" cy="695325"/>
          <wp:effectExtent l="0" t="0" r="0" b="0"/>
          <wp:wrapNone/>
          <wp:docPr id="10" name="Imagem 10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871048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:rsidR="003D0030" w:rsidRDefault="003D0030" w:rsidP="003D0030">
    <w:pPr>
      <w:pStyle w:val="Default"/>
      <w:ind w:right="-471" w:firstLine="142"/>
      <w:rPr>
        <w:sz w:val="14"/>
        <w:szCs w:val="14"/>
      </w:rPr>
    </w:pPr>
  </w:p>
  <w:p w:rsidR="003D0030" w:rsidRDefault="00000000" w:rsidP="003D0030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3D0030" w:rsidRDefault="00000000" w:rsidP="003D0030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:rsidR="003D0030" w:rsidRDefault="00000000" w:rsidP="003D0030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:rsidR="003D0030" w:rsidRDefault="00000000" w:rsidP="003D0030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:rsidR="003D0030" w:rsidRDefault="003D0030" w:rsidP="003D0030">
    <w:pPr>
      <w:pStyle w:val="Cabealho"/>
      <w:tabs>
        <w:tab w:val="left" w:pos="1800"/>
      </w:tabs>
      <w:ind w:right="-496"/>
      <w:jc w:val="center"/>
    </w:pPr>
  </w:p>
  <w:p w:rsidR="003D0030" w:rsidRDefault="003D00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030BC"/>
    <w:multiLevelType w:val="hybridMultilevel"/>
    <w:tmpl w:val="0CB6168E"/>
    <w:lvl w:ilvl="0" w:tplc="4E6CF642">
      <w:start w:val="1"/>
      <w:numFmt w:val="lowerLetter"/>
      <w:lvlText w:val="%1)"/>
      <w:lvlJc w:val="left"/>
      <w:pPr>
        <w:ind w:left="1023" w:hanging="360"/>
      </w:pPr>
    </w:lvl>
    <w:lvl w:ilvl="1" w:tplc="04160019">
      <w:start w:val="1"/>
      <w:numFmt w:val="lowerLetter"/>
      <w:lvlText w:val="%2."/>
      <w:lvlJc w:val="left"/>
      <w:pPr>
        <w:ind w:left="1743" w:hanging="360"/>
      </w:pPr>
    </w:lvl>
    <w:lvl w:ilvl="2" w:tplc="0416001B">
      <w:start w:val="1"/>
      <w:numFmt w:val="lowerRoman"/>
      <w:lvlText w:val="%3."/>
      <w:lvlJc w:val="right"/>
      <w:pPr>
        <w:ind w:left="2463" w:hanging="180"/>
      </w:pPr>
    </w:lvl>
    <w:lvl w:ilvl="3" w:tplc="0416000F">
      <w:start w:val="1"/>
      <w:numFmt w:val="decimal"/>
      <w:lvlText w:val="%4."/>
      <w:lvlJc w:val="left"/>
      <w:pPr>
        <w:ind w:left="3183" w:hanging="360"/>
      </w:pPr>
    </w:lvl>
    <w:lvl w:ilvl="4" w:tplc="04160019">
      <w:start w:val="1"/>
      <w:numFmt w:val="lowerLetter"/>
      <w:lvlText w:val="%5."/>
      <w:lvlJc w:val="left"/>
      <w:pPr>
        <w:ind w:left="3903" w:hanging="360"/>
      </w:pPr>
    </w:lvl>
    <w:lvl w:ilvl="5" w:tplc="0416001B">
      <w:start w:val="1"/>
      <w:numFmt w:val="lowerRoman"/>
      <w:lvlText w:val="%6."/>
      <w:lvlJc w:val="right"/>
      <w:pPr>
        <w:ind w:left="4623" w:hanging="180"/>
      </w:pPr>
    </w:lvl>
    <w:lvl w:ilvl="6" w:tplc="0416000F">
      <w:start w:val="1"/>
      <w:numFmt w:val="decimal"/>
      <w:lvlText w:val="%7."/>
      <w:lvlJc w:val="left"/>
      <w:pPr>
        <w:ind w:left="5343" w:hanging="360"/>
      </w:pPr>
    </w:lvl>
    <w:lvl w:ilvl="7" w:tplc="04160019">
      <w:start w:val="1"/>
      <w:numFmt w:val="lowerLetter"/>
      <w:lvlText w:val="%8."/>
      <w:lvlJc w:val="left"/>
      <w:pPr>
        <w:ind w:left="6063" w:hanging="360"/>
      </w:pPr>
    </w:lvl>
    <w:lvl w:ilvl="8" w:tplc="0416001B">
      <w:start w:val="1"/>
      <w:numFmt w:val="lowerRoman"/>
      <w:lvlText w:val="%9."/>
      <w:lvlJc w:val="right"/>
      <w:pPr>
        <w:ind w:left="6783" w:hanging="180"/>
      </w:pPr>
    </w:lvl>
  </w:abstractNum>
  <w:num w:numId="1" w16cid:durableId="13491397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1812FC"/>
    <w:rsid w:val="001B1126"/>
    <w:rsid w:val="003D0030"/>
    <w:rsid w:val="003E2213"/>
    <w:rsid w:val="006604DD"/>
    <w:rsid w:val="006D68D7"/>
    <w:rsid w:val="007328E9"/>
    <w:rsid w:val="007871AA"/>
    <w:rsid w:val="00A77B3E"/>
    <w:rsid w:val="00B02875"/>
    <w:rsid w:val="00CA2A55"/>
    <w:rsid w:val="00CA5BD2"/>
    <w:rsid w:val="00E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5CEBF9-8ABD-416D-97F5-04BE9DE0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pt-BR"/>
    </w:rPr>
  </w:style>
  <w:style w:type="paragraph" w:styleId="Ttulo4">
    <w:name w:val="heading 4"/>
    <w:basedOn w:val="Normal"/>
    <w:next w:val="Normal"/>
    <w:link w:val="Ttulo4Char"/>
    <w:uiPriority w:val="99"/>
    <w:semiHidden/>
    <w:unhideWhenUsed/>
    <w:qFormat/>
    <w:rsid w:val="003D003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00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003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3D00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D0030"/>
    <w:rPr>
      <w:sz w:val="24"/>
      <w:szCs w:val="24"/>
    </w:rPr>
  </w:style>
  <w:style w:type="character" w:styleId="Hyperlink">
    <w:name w:val="Hyperlink"/>
    <w:semiHidden/>
    <w:unhideWhenUsed/>
    <w:rsid w:val="003D0030"/>
    <w:rPr>
      <w:color w:val="0000FF"/>
      <w:u w:val="single"/>
    </w:rPr>
  </w:style>
  <w:style w:type="paragraph" w:customStyle="1" w:styleId="Default">
    <w:name w:val="Default"/>
    <w:rsid w:val="003D00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3D0030"/>
    <w:rPr>
      <w:rFonts w:ascii="Cambria" w:hAnsi="Cambria" w:cs="Cambria"/>
      <w:b/>
      <w:bCs/>
      <w:i/>
      <w:iCs/>
      <w:color w:val="4F81BD"/>
      <w:sz w:val="22"/>
      <w:szCs w:val="22"/>
      <w:lang w:val="pt-BR"/>
    </w:rPr>
  </w:style>
  <w:style w:type="paragraph" w:styleId="Corpodetexto3">
    <w:name w:val="Body Text 3"/>
    <w:basedOn w:val="Normal"/>
    <w:link w:val="Corpodetexto3Char"/>
    <w:semiHidden/>
    <w:unhideWhenUsed/>
    <w:rsid w:val="003D0030"/>
    <w:pPr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0030"/>
    <w:rPr>
      <w:sz w:val="16"/>
      <w:szCs w:val="16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E2721C"/>
    <w:pPr>
      <w:spacing w:before="100" w:beforeAutospacing="1" w:after="100" w:afterAutospacing="1"/>
    </w:pPr>
    <w:rPr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2721C"/>
    <w:pPr>
      <w:spacing w:after="120" w:line="480" w:lineRule="auto"/>
    </w:pPr>
    <w:rPr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2721C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1142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apoio</cp:lastModifiedBy>
  <cp:revision>7</cp:revision>
  <dcterms:created xsi:type="dcterms:W3CDTF">2022-09-20T12:47:00Z</dcterms:created>
  <dcterms:modified xsi:type="dcterms:W3CDTF">2023-09-15T17:32:00Z</dcterms:modified>
</cp:coreProperties>
</file>