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80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24/10/2023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29/2023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26/09/2023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Thiago Vieira Nunes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Placa Homenagem em razão do Dia da Consciência Negra ao Senhor Celso Celestino de Oliveira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24 de outubro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46824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