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E77A6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7E77A6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97602F" w:rsidRPr="005172C0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MENSAGEM DE PROJETO DE LEI </w:t>
      </w:r>
    </w:p>
    <w:p w:rsidR="003D2140" w:rsidRPr="005172C0" w:rsidP="0097602F">
      <w:pPr>
        <w:keepNext/>
        <w:widowControl w:val="0"/>
        <w:ind w:left="2682" w:right="49" w:firstLine="720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COMPLEMENTAR Nº </w:t>
      </w:r>
      <w:r w:rsidRPr="005172C0" w:rsidR="0097602F">
        <w:rPr>
          <w:rFonts w:ascii="Arial" w:hAnsi="Arial" w:cs="Arial"/>
          <w:b/>
          <w:snapToGrid w:val="0"/>
          <w:sz w:val="24"/>
          <w:szCs w:val="24"/>
        </w:rPr>
        <w:t>0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3</w:t>
      </w:r>
      <w:r w:rsidRPr="005172C0" w:rsidR="0097602F">
        <w:rPr>
          <w:rFonts w:ascii="Arial" w:hAnsi="Arial" w:cs="Arial"/>
          <w:b/>
          <w:snapToGrid w:val="0"/>
          <w:sz w:val="24"/>
          <w:szCs w:val="24"/>
        </w:rPr>
        <w:t>/202</w:t>
      </w:r>
      <w:r w:rsidRPr="005172C0" w:rsidR="00527DAA">
        <w:rPr>
          <w:rFonts w:ascii="Arial" w:hAnsi="Arial" w:cs="Arial"/>
          <w:b/>
          <w:snapToGrid w:val="0"/>
          <w:sz w:val="24"/>
          <w:szCs w:val="24"/>
        </w:rPr>
        <w:t>4</w:t>
      </w:r>
    </w:p>
    <w:p w:rsidR="0097602F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2</w:t>
      </w:r>
      <w:r w:rsidR="007E77A6">
        <w:rPr>
          <w:rFonts w:ascii="Arial" w:hAnsi="Arial" w:cs="Arial"/>
          <w:b/>
          <w:snapToGrid w:val="0"/>
          <w:sz w:val="24"/>
          <w:szCs w:val="24"/>
        </w:rPr>
        <w:t>5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Pr="005172C0" w:rsidR="00527DAA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7E77A6" w:rsidRPr="005172C0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F1283F" w:rsidRPr="005172C0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F1283F" w:rsidRPr="005172C0" w:rsidP="002C3680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  <w:szCs w:val="24"/>
        </w:rPr>
      </w:pPr>
    </w:p>
    <w:p w:rsidR="0097602F" w:rsidRPr="005172C0" w:rsidP="002C3680">
      <w:pPr>
        <w:keepNext/>
        <w:widowControl w:val="0"/>
        <w:ind w:left="3402" w:right="49"/>
        <w:outlineLvl w:val="4"/>
        <w:rPr>
          <w:rFonts w:ascii="Arial" w:eastAsia="Arial" w:hAnsi="Arial" w:cs="Arial"/>
          <w:sz w:val="24"/>
          <w:szCs w:val="24"/>
        </w:rPr>
      </w:pPr>
    </w:p>
    <w:p w:rsidR="00F1283F" w:rsidRPr="005172C0">
      <w:pPr>
        <w:ind w:firstLine="3402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>Excelentíssimo Senhor Presidente,</w:t>
      </w:r>
    </w:p>
    <w:p w:rsidR="003D2140" w:rsidRPr="005172C0">
      <w:pPr>
        <w:jc w:val="both"/>
        <w:rPr>
          <w:rFonts w:ascii="Arial" w:hAnsi="Arial" w:cs="Arial"/>
          <w:sz w:val="24"/>
          <w:szCs w:val="24"/>
        </w:rPr>
      </w:pPr>
    </w:p>
    <w:p w:rsidR="003D2140" w:rsidRPr="005172C0">
      <w:pPr>
        <w:jc w:val="both"/>
        <w:rPr>
          <w:rFonts w:ascii="Arial" w:hAnsi="Arial" w:cs="Arial"/>
          <w:sz w:val="24"/>
          <w:szCs w:val="24"/>
        </w:rPr>
      </w:pPr>
    </w:p>
    <w:p w:rsidR="006A5734" w:rsidRPr="005172C0" w:rsidP="006A5734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 xml:space="preserve">Tenho a honra de enviar à apreciação desta Casa de Leis a presente Propositura que </w:t>
      </w:r>
      <w:r w:rsidRPr="005172C0">
        <w:rPr>
          <w:rFonts w:ascii="Arial" w:hAnsi="Arial" w:cs="Arial"/>
          <w:sz w:val="24"/>
          <w:szCs w:val="24"/>
        </w:rPr>
        <w:t>dispõe sobre a revisão do Plano Diretor de Desenvolvimento Turístico da Estância Turística de São Roque, instituído pela Lei Complementar n° 94/2018, de 24 de abril de 2018.</w:t>
      </w:r>
    </w:p>
    <w:p w:rsidR="006C5ADA" w:rsidRPr="005172C0" w:rsidP="006A5734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 xml:space="preserve">A presente propositura tem por finalidade promover a revisão do Plano de Desenvolvimento do Turismo Sustentável, de acordo com o artigo 10 da Lei Complementar 94, de 24 de abril de 2018 abordando as transformações e conquistas da cidade desde a elaboração do último plano, além das mudanças observadas no perfil de visitantes e turistas do município. </w:t>
      </w:r>
    </w:p>
    <w:p w:rsidR="006C5ADA" w:rsidRPr="005172C0" w:rsidP="006C5ADA">
      <w:pPr>
        <w:spacing w:after="24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  <w:t>Os estudos ora apresentados buscaram identificar os elementos capazes de impulsionar o desenvolvimento socioeconômico, histórico, cultural e turístico do município.</w:t>
      </w:r>
    </w:p>
    <w:p w:rsidR="006C5ADA" w:rsidRPr="005172C0" w:rsidP="006C5ADA">
      <w:pPr>
        <w:spacing w:after="240" w:line="360" w:lineRule="auto"/>
        <w:ind w:right="51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</w:r>
      <w:r w:rsidRPr="005172C0">
        <w:rPr>
          <w:rFonts w:ascii="Arial" w:hAnsi="Arial" w:cs="Arial"/>
          <w:sz w:val="24"/>
          <w:szCs w:val="24"/>
        </w:rPr>
        <w:tab/>
        <w:t>O conteúdo da proposta</w:t>
      </w:r>
      <w:r w:rsidRPr="005172C0" w:rsidR="005172C0">
        <w:rPr>
          <w:rFonts w:ascii="Arial" w:hAnsi="Arial" w:cs="Arial"/>
          <w:sz w:val="24"/>
          <w:szCs w:val="24"/>
        </w:rPr>
        <w:t xml:space="preserve"> baseou-se em uma visão interdisciplinar, combinando revisão documental, dados acadêmicos, análise de fontes secundárias e coleta de dados primários</w:t>
      </w:r>
    </w:p>
    <w:p w:rsidR="005172C0" w:rsidRPr="005172C0" w:rsidP="005172C0">
      <w:pPr>
        <w:spacing w:after="240" w:line="360" w:lineRule="auto"/>
        <w:ind w:right="51" w:firstLine="3600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 xml:space="preserve">Desde a elaboração do último plano de desenvolvimento, São Roque experimentou um crescimento substancial e transformações significativas em diversas áreas. As mudanças observadas na cidade transcendem não apenas o aspecto físico, mas também refletem na dinâmica econômica e, principalmente, no perfil dos visitantes que a região tem atraído. </w:t>
      </w:r>
    </w:p>
    <w:p w:rsidR="007E77A6" w:rsidP="005172C0">
      <w:pPr>
        <w:spacing w:after="240" w:line="360" w:lineRule="auto"/>
        <w:ind w:right="51" w:firstLine="3600"/>
        <w:jc w:val="both"/>
        <w:rPr>
          <w:rFonts w:ascii="Arial" w:hAnsi="Arial" w:cs="Arial"/>
          <w:sz w:val="24"/>
          <w:szCs w:val="24"/>
        </w:rPr>
      </w:pPr>
    </w:p>
    <w:p w:rsidR="007E77A6" w:rsidP="005172C0">
      <w:pPr>
        <w:spacing w:after="240" w:line="360" w:lineRule="auto"/>
        <w:ind w:right="51" w:firstLine="3600"/>
        <w:jc w:val="both"/>
        <w:rPr>
          <w:rFonts w:ascii="Arial" w:hAnsi="Arial" w:cs="Arial"/>
          <w:sz w:val="24"/>
          <w:szCs w:val="24"/>
        </w:rPr>
      </w:pPr>
    </w:p>
    <w:p w:rsidR="007E77A6" w:rsidP="005172C0">
      <w:pPr>
        <w:spacing w:after="240" w:line="360" w:lineRule="auto"/>
        <w:ind w:right="51" w:firstLine="3600"/>
        <w:jc w:val="both"/>
        <w:rPr>
          <w:rFonts w:ascii="Arial" w:hAnsi="Arial" w:cs="Arial"/>
          <w:sz w:val="24"/>
          <w:szCs w:val="24"/>
        </w:rPr>
      </w:pPr>
    </w:p>
    <w:p w:rsidR="006A5734" w:rsidRPr="005172C0" w:rsidP="005172C0">
      <w:pPr>
        <w:spacing w:after="240" w:line="360" w:lineRule="auto"/>
        <w:ind w:right="51" w:firstLine="3600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>A revisão do Plano Diretor ora proposta foi apresentada em duas reuniões junto ao Conselho Municipal do Turismo, cujas atas acompanham a propositura, sendo então aprovada</w:t>
      </w:r>
      <w:r w:rsidR="00FD7D1E">
        <w:rPr>
          <w:rFonts w:ascii="Arial" w:hAnsi="Arial" w:cs="Arial"/>
          <w:sz w:val="24"/>
          <w:szCs w:val="24"/>
        </w:rPr>
        <w:t xml:space="preserve"> por unanimidade dentre os membros presentes nas reuniões. </w:t>
      </w:r>
    </w:p>
    <w:p w:rsidR="00527DAA" w:rsidP="005F6B02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>Ao ensejo, reitero a Vossa Excelência e aos demais membros desta Augusta Casa meus votos de elevada estima e distinta consideração</w:t>
      </w:r>
      <w:bookmarkStart w:id="0" w:name="_GoBack"/>
      <w:bookmarkEnd w:id="0"/>
      <w:r w:rsidRPr="005172C0">
        <w:rPr>
          <w:rFonts w:ascii="Arial" w:hAnsi="Arial" w:cs="Arial"/>
          <w:sz w:val="24"/>
          <w:szCs w:val="24"/>
        </w:rPr>
        <w:t>.</w:t>
      </w:r>
    </w:p>
    <w:p w:rsidR="007E77A6" w:rsidP="005F6B02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</w:p>
    <w:p w:rsidR="007E77A6" w:rsidP="005F6B02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</w:p>
    <w:p w:rsidR="007E77A6" w:rsidRPr="005172C0" w:rsidP="005F6B02">
      <w:pPr>
        <w:spacing w:after="240" w:line="360" w:lineRule="auto"/>
        <w:ind w:right="51" w:firstLine="3402"/>
        <w:jc w:val="both"/>
        <w:rPr>
          <w:rFonts w:ascii="Arial" w:hAnsi="Arial" w:cs="Arial"/>
          <w:sz w:val="24"/>
          <w:szCs w:val="24"/>
        </w:rPr>
      </w:pPr>
    </w:p>
    <w:p w:rsidR="00527DAA" w:rsidRPr="005172C0" w:rsidP="00527DAA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27DAA" w:rsidRPr="005172C0" w:rsidP="00527DAA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:rsidR="00527DAA" w:rsidRPr="005172C0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5172C0">
        <w:rPr>
          <w:rFonts w:ascii="Arial" w:hAnsi="Arial" w:cs="Arial"/>
          <w:b/>
          <w:szCs w:val="24"/>
        </w:rPr>
        <w:t>MARCOS AUGUSTO ISSA HENRIQUES DE ARAÚJO</w:t>
      </w:r>
    </w:p>
    <w:p w:rsidR="00527DAA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5172C0">
        <w:rPr>
          <w:rFonts w:ascii="Arial" w:hAnsi="Arial" w:cs="Arial"/>
          <w:b/>
          <w:szCs w:val="24"/>
        </w:rPr>
        <w:t>PREFEITO</w:t>
      </w: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7E77A6" w:rsidRPr="005172C0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27DAA" w:rsidRPr="005172C0" w:rsidP="00527DAA">
      <w:pPr>
        <w:pStyle w:val="BodyTextIndent"/>
        <w:ind w:left="142" w:right="113" w:firstLine="0"/>
        <w:jc w:val="center"/>
        <w:rPr>
          <w:rFonts w:ascii="Arial" w:hAnsi="Arial" w:cs="Arial"/>
          <w:b/>
          <w:szCs w:val="24"/>
        </w:rPr>
      </w:pPr>
    </w:p>
    <w:p w:rsidR="00527DAA" w:rsidRPr="005172C0" w:rsidP="00527DAA">
      <w:pPr>
        <w:pStyle w:val="BodyTextIndent"/>
        <w:ind w:left="142" w:right="113" w:firstLine="0"/>
        <w:jc w:val="center"/>
        <w:rPr>
          <w:rFonts w:ascii="Arial" w:hAnsi="Arial" w:cs="Arial"/>
          <w:szCs w:val="24"/>
        </w:rPr>
      </w:pPr>
    </w:p>
    <w:p w:rsidR="00527DAA" w:rsidRPr="005172C0" w:rsidP="00527DAA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5172C0">
        <w:rPr>
          <w:rFonts w:ascii="Arial" w:hAnsi="Arial" w:cs="Arial"/>
          <w:b/>
          <w:sz w:val="24"/>
          <w:szCs w:val="24"/>
        </w:rPr>
        <w:t>Ao Excelentíssimo Senhor</w:t>
      </w:r>
    </w:p>
    <w:p w:rsidR="00527DAA" w:rsidRPr="005172C0" w:rsidP="00527DAA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5172C0">
        <w:rPr>
          <w:rFonts w:ascii="Arial" w:hAnsi="Arial" w:cs="Arial"/>
          <w:b/>
          <w:sz w:val="24"/>
          <w:szCs w:val="24"/>
        </w:rPr>
        <w:t xml:space="preserve">Rafael </w:t>
      </w:r>
      <w:r w:rsidRPr="005172C0">
        <w:rPr>
          <w:rFonts w:ascii="Arial" w:hAnsi="Arial" w:cs="Arial"/>
          <w:b/>
          <w:sz w:val="24"/>
          <w:szCs w:val="24"/>
        </w:rPr>
        <w:t>Tanzi</w:t>
      </w:r>
      <w:r w:rsidRPr="005172C0">
        <w:rPr>
          <w:rFonts w:ascii="Arial" w:hAnsi="Arial" w:cs="Arial"/>
          <w:b/>
          <w:sz w:val="24"/>
          <w:szCs w:val="24"/>
        </w:rPr>
        <w:t xml:space="preserve"> de Araújo</w:t>
      </w:r>
    </w:p>
    <w:p w:rsidR="00527DAA" w:rsidRPr="005172C0" w:rsidP="00527DAA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5172C0">
        <w:rPr>
          <w:rFonts w:ascii="Arial" w:hAnsi="Arial" w:cs="Arial"/>
          <w:b/>
          <w:sz w:val="24"/>
          <w:szCs w:val="24"/>
        </w:rPr>
        <w:t>DD. Presidente</w:t>
      </w:r>
      <w:r w:rsidRPr="005172C0">
        <w:rPr>
          <w:rFonts w:ascii="Arial" w:hAnsi="Arial" w:cs="Arial"/>
          <w:b/>
          <w:sz w:val="24"/>
          <w:szCs w:val="24"/>
        </w:rPr>
        <w:t xml:space="preserve"> da Câmara Municipal da</w:t>
      </w:r>
    </w:p>
    <w:p w:rsidR="00527DAA" w:rsidRPr="005172C0" w:rsidP="00527DAA">
      <w:pPr>
        <w:ind w:right="113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b/>
          <w:sz w:val="24"/>
          <w:szCs w:val="24"/>
        </w:rPr>
        <w:t xml:space="preserve">Estância Turística de São Roque/SP </w:t>
      </w:r>
      <w:r w:rsidRPr="005172C0">
        <w:rPr>
          <w:rFonts w:ascii="Arial" w:hAnsi="Arial" w:cs="Arial"/>
          <w:sz w:val="24"/>
          <w:szCs w:val="24"/>
        </w:rPr>
        <w:br w:type="page"/>
      </w:r>
    </w:p>
    <w:p w:rsidR="00527DAA" w:rsidRPr="005172C0" w:rsidP="00527DAA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PROJETO DE LEI COMPLEMENTAR </w:t>
      </w:r>
      <w:r w:rsidRPr="005172C0">
        <w:rPr>
          <w:rFonts w:ascii="Arial" w:hAnsi="Arial" w:cs="Arial"/>
          <w:b/>
          <w:snapToGrid w:val="0"/>
          <w:sz w:val="24"/>
          <w:szCs w:val="24"/>
        </w:rPr>
        <w:t>N.º</w:t>
      </w: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 0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3</w:t>
      </w:r>
      <w:r w:rsidRPr="005172C0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527DAA" w:rsidRPr="005172C0" w:rsidP="00527DAA">
      <w:pPr>
        <w:spacing w:after="48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2</w:t>
      </w:r>
      <w:r w:rsidR="007E77A6">
        <w:rPr>
          <w:rFonts w:ascii="Arial" w:hAnsi="Arial" w:cs="Arial"/>
          <w:b/>
          <w:snapToGrid w:val="0"/>
          <w:sz w:val="24"/>
          <w:szCs w:val="24"/>
        </w:rPr>
        <w:t>5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6A5734" w:rsidRPr="005172C0" w:rsidP="006A5734">
      <w:pPr>
        <w:spacing w:after="360" w:line="276" w:lineRule="auto"/>
        <w:ind w:left="3119"/>
        <w:jc w:val="both"/>
        <w:rPr>
          <w:rFonts w:ascii="Arial" w:hAnsi="Arial" w:cs="Arial"/>
          <w:b/>
          <w:i/>
          <w:sz w:val="24"/>
          <w:szCs w:val="24"/>
        </w:rPr>
      </w:pPr>
      <w:r w:rsidRPr="005172C0">
        <w:rPr>
          <w:rFonts w:ascii="Arial" w:hAnsi="Arial" w:cs="Arial"/>
          <w:b/>
          <w:i/>
          <w:sz w:val="24"/>
          <w:szCs w:val="24"/>
        </w:rPr>
        <w:t>Dispõe sobre a revisão do Plano Diretor de Desenvolvimento Turístico da Estância Turística de São Roque, instituído pela Lei Complementar n° 94/2018, de 24 de abril de 2018.</w:t>
      </w:r>
    </w:p>
    <w:p w:rsidR="00527DAA" w:rsidRPr="005172C0" w:rsidP="00527DAA">
      <w:pPr>
        <w:spacing w:after="24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 xml:space="preserve">O Prefeito da Estância Turística de São Roque, no uso de suas atribuições legais, </w:t>
      </w:r>
    </w:p>
    <w:p w:rsidR="00527DAA" w:rsidRPr="005172C0" w:rsidP="00527DAA">
      <w:pPr>
        <w:spacing w:after="240" w:line="276" w:lineRule="auto"/>
        <w:ind w:left="3119"/>
        <w:jc w:val="both"/>
        <w:rPr>
          <w:rFonts w:ascii="Arial" w:hAnsi="Arial" w:cs="Arial"/>
          <w:sz w:val="24"/>
          <w:szCs w:val="24"/>
        </w:rPr>
      </w:pPr>
      <w:r w:rsidRPr="005172C0"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Art. 1º A presente lei dispõe sobre revisão do Plano Diretor de Desenvolvimento Turístico da Estância Turística de São Roque, instituído pela Lei Complementar n° 94/2018, de 24 de abril de 2018, nos termos da Lei Complementar Estadual nº 1.261, de 29 de abril de 2015, que estabelece condições e requisitos para a classificação de Estâncias e de Municípios de Interesse Turístico.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Parágrafo único. A Revisão do Plano Diretor de Desenvolvimento Turístico da Estância Turística de São Roque consta dos anexos, parte integrante desta lei.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Art. 2º O Plano Diretor de Desenvolvimento Turístico da Estância Turística de São Roque é composto pelo Diagnóstico e Análise Situacional, Metas e Indicadores de Planejamento através dos seguintes anexos: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I - Anexo I – Apresentação - Diagnóstico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II - Anexo II – Inventário da Oferta Turística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III - Anexo III – Pesquisa de Demanda 2023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IV - Anexo IV – Plano de Obras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V - Anexo V – Plano de Marketing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IV – Anexo IV – Volume Final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Art. 3º As despesas com a execução desta lei correrão por conta das dotações orçamentárias próprias, suplementadas se necessário.</w:t>
      </w:r>
    </w:p>
    <w:p w:rsidR="006A5734" w:rsidRPr="005172C0" w:rsidP="006A5734">
      <w:pPr>
        <w:pStyle w:val="NormalWeb"/>
        <w:shd w:val="clear" w:color="auto" w:fill="FFFFFF"/>
        <w:spacing w:before="0" w:beforeAutospacing="0" w:after="150" w:afterAutospacing="0"/>
        <w:ind w:firstLine="3119"/>
        <w:jc w:val="both"/>
        <w:rPr>
          <w:rFonts w:ascii="Arial" w:hAnsi="Arial" w:cs="Arial"/>
        </w:rPr>
      </w:pPr>
      <w:r w:rsidRPr="005172C0">
        <w:rPr>
          <w:rFonts w:ascii="Arial" w:hAnsi="Arial" w:cs="Arial"/>
        </w:rPr>
        <w:t>Art. 4º Esta lei entra em vigor na data de sua publicação.</w:t>
      </w:r>
    </w:p>
    <w:p w:rsidR="00527DAA" w:rsidRPr="005172C0" w:rsidP="00527DAA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2</w:t>
      </w:r>
      <w:r w:rsidR="007E77A6">
        <w:rPr>
          <w:rFonts w:ascii="Arial" w:hAnsi="Arial" w:cs="Arial"/>
          <w:b/>
          <w:snapToGrid w:val="0"/>
          <w:sz w:val="24"/>
          <w:szCs w:val="24"/>
        </w:rPr>
        <w:t>5</w:t>
      </w:r>
      <w:r w:rsidRPr="005172C0" w:rsidR="006A5734">
        <w:rPr>
          <w:rFonts w:ascii="Arial" w:hAnsi="Arial" w:cs="Arial"/>
          <w:b/>
          <w:snapToGrid w:val="0"/>
          <w:sz w:val="24"/>
          <w:szCs w:val="24"/>
        </w:rPr>
        <w:t>/6</w:t>
      </w:r>
      <w:r w:rsidRPr="005172C0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527DAA" w:rsidRPr="005172C0" w:rsidP="00527DAA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27DAA" w:rsidRPr="005172C0" w:rsidP="00527DAA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527DAA" w:rsidRPr="005172C0" w:rsidP="00527DAA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527DAA" w:rsidRPr="005172C0" w:rsidP="00527DAA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527DAA" w:rsidRPr="005172C0" w:rsidP="00527DAA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2C3680" w:rsidRPr="005172C0" w:rsidP="00527DAA">
      <w:pPr>
        <w:widowControl w:val="0"/>
        <w:tabs>
          <w:tab w:val="left" w:pos="3686"/>
        </w:tabs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5172C0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5F6B02">
      <w:headerReference w:type="default" r:id="rId5"/>
      <w:pgSz w:w="11907" w:h="16840"/>
      <w:pgMar w:top="1843" w:right="1134" w:bottom="851" w:left="1701" w:header="28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6866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3175" b="9525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6866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466866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466866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466866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</w:p>
                        <w:p w:rsidR="00466866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466866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466866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466866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466866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</w:p>
                  <w:p w:rsidR="00466866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66866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1039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3054AA"/>
    <w:multiLevelType w:val="hybridMultilevel"/>
    <w:tmpl w:val="FAB21698"/>
    <w:lvl w:ilvl="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99" w:hanging="360"/>
      </w:pPr>
    </w:lvl>
    <w:lvl w:ilvl="2" w:tentative="1">
      <w:start w:val="1"/>
      <w:numFmt w:val="lowerRoman"/>
      <w:lvlText w:val="%3."/>
      <w:lvlJc w:val="right"/>
      <w:pPr>
        <w:ind w:left="4919" w:hanging="180"/>
      </w:pPr>
    </w:lvl>
    <w:lvl w:ilvl="3" w:tentative="1">
      <w:start w:val="1"/>
      <w:numFmt w:val="decimal"/>
      <w:lvlText w:val="%4."/>
      <w:lvlJc w:val="left"/>
      <w:pPr>
        <w:ind w:left="5639" w:hanging="360"/>
      </w:pPr>
    </w:lvl>
    <w:lvl w:ilvl="4" w:tentative="1">
      <w:start w:val="1"/>
      <w:numFmt w:val="lowerLetter"/>
      <w:lvlText w:val="%5."/>
      <w:lvlJc w:val="left"/>
      <w:pPr>
        <w:ind w:left="6359" w:hanging="360"/>
      </w:pPr>
    </w:lvl>
    <w:lvl w:ilvl="5" w:tentative="1">
      <w:start w:val="1"/>
      <w:numFmt w:val="lowerRoman"/>
      <w:lvlText w:val="%6."/>
      <w:lvlJc w:val="right"/>
      <w:pPr>
        <w:ind w:left="7079" w:hanging="180"/>
      </w:pPr>
    </w:lvl>
    <w:lvl w:ilvl="6" w:tentative="1">
      <w:start w:val="1"/>
      <w:numFmt w:val="decimal"/>
      <w:lvlText w:val="%7."/>
      <w:lvlJc w:val="left"/>
      <w:pPr>
        <w:ind w:left="7799" w:hanging="360"/>
      </w:pPr>
    </w:lvl>
    <w:lvl w:ilvl="7" w:tentative="1">
      <w:start w:val="1"/>
      <w:numFmt w:val="lowerLetter"/>
      <w:lvlText w:val="%8."/>
      <w:lvlJc w:val="left"/>
      <w:pPr>
        <w:ind w:left="8519" w:hanging="360"/>
      </w:pPr>
    </w:lvl>
    <w:lvl w:ilvl="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5A4600FF"/>
    <w:multiLevelType w:val="hybridMultilevel"/>
    <w:tmpl w:val="C33C5A22"/>
    <w:lvl w:ilvl="0">
      <w:start w:val="1"/>
      <w:numFmt w:val="lowerLetter"/>
      <w:lvlText w:val="%1)"/>
      <w:lvlJc w:val="left"/>
      <w:pPr>
        <w:ind w:left="34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199" w:hanging="360"/>
      </w:pPr>
    </w:lvl>
    <w:lvl w:ilvl="2" w:tentative="1">
      <w:start w:val="1"/>
      <w:numFmt w:val="lowerRoman"/>
      <w:lvlText w:val="%3."/>
      <w:lvlJc w:val="right"/>
      <w:pPr>
        <w:ind w:left="4919" w:hanging="180"/>
      </w:pPr>
    </w:lvl>
    <w:lvl w:ilvl="3" w:tentative="1">
      <w:start w:val="1"/>
      <w:numFmt w:val="decimal"/>
      <w:lvlText w:val="%4."/>
      <w:lvlJc w:val="left"/>
      <w:pPr>
        <w:ind w:left="5639" w:hanging="360"/>
      </w:pPr>
    </w:lvl>
    <w:lvl w:ilvl="4" w:tentative="1">
      <w:start w:val="1"/>
      <w:numFmt w:val="lowerLetter"/>
      <w:lvlText w:val="%5."/>
      <w:lvlJc w:val="left"/>
      <w:pPr>
        <w:ind w:left="6359" w:hanging="360"/>
      </w:pPr>
    </w:lvl>
    <w:lvl w:ilvl="5" w:tentative="1">
      <w:start w:val="1"/>
      <w:numFmt w:val="lowerRoman"/>
      <w:lvlText w:val="%6."/>
      <w:lvlJc w:val="right"/>
      <w:pPr>
        <w:ind w:left="7079" w:hanging="180"/>
      </w:pPr>
    </w:lvl>
    <w:lvl w:ilvl="6" w:tentative="1">
      <w:start w:val="1"/>
      <w:numFmt w:val="decimal"/>
      <w:lvlText w:val="%7."/>
      <w:lvlJc w:val="left"/>
      <w:pPr>
        <w:ind w:left="7799" w:hanging="360"/>
      </w:pPr>
    </w:lvl>
    <w:lvl w:ilvl="7" w:tentative="1">
      <w:start w:val="1"/>
      <w:numFmt w:val="lowerLetter"/>
      <w:lvlText w:val="%8."/>
      <w:lvlJc w:val="left"/>
      <w:pPr>
        <w:ind w:left="8519" w:hanging="360"/>
      </w:pPr>
    </w:lvl>
    <w:lvl w:ilvl="8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40"/>
    <w:rsid w:val="000037C7"/>
    <w:rsid w:val="000071F0"/>
    <w:rsid w:val="00012271"/>
    <w:rsid w:val="0005584F"/>
    <w:rsid w:val="000570E5"/>
    <w:rsid w:val="00074F13"/>
    <w:rsid w:val="000905A1"/>
    <w:rsid w:val="000F6C09"/>
    <w:rsid w:val="00102F62"/>
    <w:rsid w:val="00167C52"/>
    <w:rsid w:val="001B1247"/>
    <w:rsid w:val="001D3A17"/>
    <w:rsid w:val="002305A1"/>
    <w:rsid w:val="00264C4F"/>
    <w:rsid w:val="002A2CC6"/>
    <w:rsid w:val="002B39C5"/>
    <w:rsid w:val="002C01EE"/>
    <w:rsid w:val="002C3680"/>
    <w:rsid w:val="002E255E"/>
    <w:rsid w:val="00303DD0"/>
    <w:rsid w:val="003160B7"/>
    <w:rsid w:val="00326D52"/>
    <w:rsid w:val="0033167E"/>
    <w:rsid w:val="003576AA"/>
    <w:rsid w:val="003C5410"/>
    <w:rsid w:val="003D2140"/>
    <w:rsid w:val="003D593B"/>
    <w:rsid w:val="00421160"/>
    <w:rsid w:val="00445306"/>
    <w:rsid w:val="00445655"/>
    <w:rsid w:val="00451B1F"/>
    <w:rsid w:val="00452484"/>
    <w:rsid w:val="00466866"/>
    <w:rsid w:val="00495F15"/>
    <w:rsid w:val="004A66B3"/>
    <w:rsid w:val="005172C0"/>
    <w:rsid w:val="00526192"/>
    <w:rsid w:val="00527DAA"/>
    <w:rsid w:val="0059028B"/>
    <w:rsid w:val="005B4F55"/>
    <w:rsid w:val="005F6B02"/>
    <w:rsid w:val="00622484"/>
    <w:rsid w:val="006325E0"/>
    <w:rsid w:val="00674D76"/>
    <w:rsid w:val="006948A5"/>
    <w:rsid w:val="006A5734"/>
    <w:rsid w:val="006C5ADA"/>
    <w:rsid w:val="006D4856"/>
    <w:rsid w:val="00722C19"/>
    <w:rsid w:val="007B4CDC"/>
    <w:rsid w:val="007E7082"/>
    <w:rsid w:val="007E77A6"/>
    <w:rsid w:val="0081712A"/>
    <w:rsid w:val="008E3F63"/>
    <w:rsid w:val="0091376B"/>
    <w:rsid w:val="0091391E"/>
    <w:rsid w:val="009255F6"/>
    <w:rsid w:val="0097602F"/>
    <w:rsid w:val="009A5146"/>
    <w:rsid w:val="009B6572"/>
    <w:rsid w:val="00A1359C"/>
    <w:rsid w:val="00A3218C"/>
    <w:rsid w:val="00A4435F"/>
    <w:rsid w:val="00A50201"/>
    <w:rsid w:val="00AC648B"/>
    <w:rsid w:val="00BD71A1"/>
    <w:rsid w:val="00BE0802"/>
    <w:rsid w:val="00BF7DFB"/>
    <w:rsid w:val="00C45BAA"/>
    <w:rsid w:val="00C62225"/>
    <w:rsid w:val="00CF4662"/>
    <w:rsid w:val="00D321D2"/>
    <w:rsid w:val="00DD20CE"/>
    <w:rsid w:val="00E047AF"/>
    <w:rsid w:val="00E07934"/>
    <w:rsid w:val="00E20C50"/>
    <w:rsid w:val="00E210DC"/>
    <w:rsid w:val="00E73DFC"/>
    <w:rsid w:val="00EE2E88"/>
    <w:rsid w:val="00EF4A23"/>
    <w:rsid w:val="00F110F4"/>
    <w:rsid w:val="00F1283F"/>
    <w:rsid w:val="00F34CD6"/>
    <w:rsid w:val="00FD7D1E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B9E478E-2AAF-4C1B-A737-F1B5BFBA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734"/>
  </w:style>
  <w:style w:type="paragraph" w:styleId="Heading1">
    <w:name w:val="heading 1"/>
    <w:basedOn w:val="Normal"/>
    <w:next w:val="Normal"/>
    <w:uiPriority w:val="9"/>
    <w:qFormat/>
    <w:rsid w:val="003D21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rsid w:val="003D21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D2140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D21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D214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D21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rsid w:val="003D21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D214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D21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D21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D214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rsid w:val="003D2140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3D2140"/>
    <w:rPr>
      <w:sz w:val="24"/>
      <w:szCs w:val="20"/>
    </w:rPr>
  </w:style>
  <w:style w:type="paragraph" w:styleId="BodyText">
    <w:name w:val="Body Text"/>
    <w:basedOn w:val="Normal"/>
    <w:link w:val="CorpodetextoChar"/>
    <w:semiHidden/>
    <w:rsid w:val="003D2140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sid w:val="003D2140"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rsid w:val="003D2140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sid w:val="003D2140"/>
    <w:rPr>
      <w:szCs w:val="20"/>
    </w:rPr>
  </w:style>
  <w:style w:type="paragraph" w:styleId="NormalWeb">
    <w:name w:val="Normal (Web)"/>
    <w:basedOn w:val="Normal"/>
    <w:uiPriority w:val="99"/>
    <w:unhideWhenUsed/>
    <w:rsid w:val="003D214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D2140"/>
    <w:rPr>
      <w:color w:val="0000FF"/>
      <w:u w:val="single"/>
    </w:rPr>
  </w:style>
  <w:style w:type="character" w:customStyle="1" w:styleId="label">
    <w:name w:val="label"/>
    <w:basedOn w:val="DefaultParagraphFont"/>
    <w:rsid w:val="003D2140"/>
  </w:style>
  <w:style w:type="character" w:styleId="CommentReference">
    <w:name w:val="annotation reference"/>
    <w:basedOn w:val="DefaultParagraphFont"/>
    <w:uiPriority w:val="99"/>
    <w:semiHidden/>
    <w:unhideWhenUsed/>
    <w:rsid w:val="003D2140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3D2140"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3D21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3D2140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3D2140"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3D2140"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3D2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14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D2140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3D21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3D2140"/>
  </w:style>
  <w:style w:type="paragraph" w:styleId="Footer">
    <w:name w:val="footer"/>
    <w:basedOn w:val="Normal"/>
    <w:link w:val="RodapChar"/>
    <w:uiPriority w:val="99"/>
    <w:unhideWhenUsed/>
    <w:rsid w:val="003D21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3D2140"/>
  </w:style>
  <w:style w:type="character" w:customStyle="1" w:styleId="normas-indices-artigo">
    <w:name w:val="normas-indices-artigo"/>
    <w:basedOn w:val="DefaultParagraphFont"/>
    <w:rsid w:val="009255F6"/>
  </w:style>
  <w:style w:type="character" w:customStyle="1" w:styleId="highlight">
    <w:name w:val="highlight"/>
    <w:basedOn w:val="DefaultParagraphFont"/>
    <w:rsid w:val="00925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7CA9-61FE-4D63-9B33-04106295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10</cp:revision>
  <cp:lastPrinted>2024-06-25T14:15:00Z</cp:lastPrinted>
  <dcterms:created xsi:type="dcterms:W3CDTF">2023-12-05T19:51:00Z</dcterms:created>
  <dcterms:modified xsi:type="dcterms:W3CDTF">2024-06-25T15:16:00Z</dcterms:modified>
</cp:coreProperties>
</file>