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0FAC" w14:textId="1C92E4B8" w:rsidR="00FA7098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8</w:t>
      </w:r>
      <w:r w:rsidR="00C03AC5">
        <w:rPr>
          <w:rFonts w:ascii="Arial" w:hAnsi="Arial" w:cs="Arial"/>
          <w:b/>
          <w:bCs/>
          <w:caps/>
        </w:rPr>
        <w:t>9</w:t>
      </w:r>
      <w:r w:rsidRPr="00796A4F">
        <w:rPr>
          <w:rFonts w:ascii="Arial" w:hAnsi="Arial" w:cs="Arial"/>
          <w:b/>
          <w:bCs/>
          <w:caps/>
        </w:rPr>
        <w:t xml:space="preserve">/2024-L, DE </w:t>
      </w:r>
      <w:r w:rsidR="00C03AC5">
        <w:rPr>
          <w:rFonts w:ascii="Arial" w:hAnsi="Arial" w:cs="Arial"/>
          <w:b/>
          <w:bCs/>
          <w:caps/>
        </w:rPr>
        <w:t>27</w:t>
      </w:r>
      <w:r w:rsidRPr="00796A4F">
        <w:rPr>
          <w:rFonts w:ascii="Arial" w:hAnsi="Arial" w:cs="Arial"/>
          <w:b/>
          <w:bCs/>
          <w:caps/>
        </w:rPr>
        <w:t xml:space="preserve"> de setembro de 2024, DE AUTORIA DO VEREADOR Diego Gouveia da Costa</w:t>
      </w:r>
    </w:p>
    <w:p w14:paraId="2A15029E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6D512D73" w14:textId="730C566C" w:rsidR="00C03AC5" w:rsidRPr="00C03AC5" w:rsidRDefault="00C03AC5" w:rsidP="00C03AC5">
      <w:pPr>
        <w:ind w:firstLine="3420"/>
        <w:jc w:val="both"/>
        <w:rPr>
          <w:rFonts w:ascii="Arial" w:hAnsi="Arial" w:cs="Arial"/>
        </w:rPr>
      </w:pPr>
      <w:r w:rsidRPr="00C03AC5">
        <w:rPr>
          <w:rFonts w:ascii="Arial" w:hAnsi="Arial" w:cs="Arial"/>
        </w:rPr>
        <w:t>A proposta de incluir o Encontro de Carros “Noites dos Baixos” no Calendário Oficial de Eventos da Estância Turística de São Roque representa uma iniciativa estratégica para impulsionar o turismo e a economia local. O evento, que já se consolidou como um ponto de encontro para admiradores de carros rebaixados, tem atraído cada vez mais visitantes de diversas regiões</w:t>
      </w:r>
      <w:r>
        <w:rPr>
          <w:rFonts w:ascii="Arial" w:hAnsi="Arial" w:cs="Arial"/>
        </w:rPr>
        <w:t xml:space="preserve">, que se reúnem no bairro do Taboão. </w:t>
      </w:r>
      <w:r w:rsidRPr="00C03AC5">
        <w:rPr>
          <w:rFonts w:ascii="Arial" w:hAnsi="Arial" w:cs="Arial"/>
        </w:rPr>
        <w:t>Ao oficializar sua presença no calendário municipal, São Roque se posiciona como um destino turístico de destaque, diversificando suas atrações e fortalecendo sua reputação como palco de importantes eventos automotivos. Com a realização mensal do encontro, espera-se um aumento significativo no fluxo de turistas, o que beneficiará diretamente setores como hotelaria, gastronomia e comércio.</w:t>
      </w:r>
    </w:p>
    <w:p w14:paraId="5E4996B4" w14:textId="77777777" w:rsidR="00C03AC5" w:rsidRPr="00C03AC5" w:rsidRDefault="00C03AC5" w:rsidP="00C03AC5">
      <w:pPr>
        <w:ind w:firstLine="3420"/>
        <w:jc w:val="both"/>
        <w:rPr>
          <w:rFonts w:ascii="Arial" w:hAnsi="Arial" w:cs="Arial"/>
        </w:rPr>
      </w:pPr>
    </w:p>
    <w:p w14:paraId="48275008" w14:textId="77777777" w:rsidR="00C03AC5" w:rsidRPr="00C03AC5" w:rsidRDefault="00C03AC5" w:rsidP="00C03AC5">
      <w:pPr>
        <w:ind w:firstLine="3420"/>
        <w:jc w:val="both"/>
        <w:rPr>
          <w:rFonts w:ascii="Arial" w:hAnsi="Arial" w:cs="Arial"/>
        </w:rPr>
      </w:pPr>
      <w:r w:rsidRPr="00C03AC5">
        <w:rPr>
          <w:rFonts w:ascii="Arial" w:hAnsi="Arial" w:cs="Arial"/>
        </w:rPr>
        <w:t>É importante ressaltar o caráter sociofilantrópico do evento, o que reforça ainda mais seu valor para a comunidade de São Roque. Esse aspecto solidário contribui para justificar o interesse público em torno da proposta, agregando uma dimensão de responsabilidade social ao projeto.</w:t>
      </w:r>
    </w:p>
    <w:p w14:paraId="2736182D" w14:textId="77777777" w:rsidR="00C03AC5" w:rsidRPr="00C03AC5" w:rsidRDefault="00C03AC5" w:rsidP="00C03AC5">
      <w:pPr>
        <w:ind w:firstLine="3420"/>
        <w:jc w:val="both"/>
        <w:rPr>
          <w:rFonts w:ascii="Arial" w:hAnsi="Arial" w:cs="Arial"/>
        </w:rPr>
      </w:pPr>
    </w:p>
    <w:p w14:paraId="119E9703" w14:textId="51D97E32" w:rsidR="00BC5DD4" w:rsidRPr="00796A4F" w:rsidRDefault="00C03AC5" w:rsidP="00C03AC5">
      <w:pPr>
        <w:ind w:firstLine="3420"/>
        <w:jc w:val="both"/>
        <w:rPr>
          <w:rFonts w:ascii="Arial" w:hAnsi="Arial" w:cs="Arial"/>
        </w:rPr>
      </w:pPr>
      <w:r w:rsidRPr="00C03AC5">
        <w:rPr>
          <w:rFonts w:ascii="Arial" w:hAnsi="Arial" w:cs="Arial"/>
        </w:rPr>
        <w:t>Além dos impactos econômicos e sociais, o evento “Noites dos Baixos” promove a integração cultural e social, reunindo entusiastas automotivos e famílias em um ambiente de convivência e entretenimento. A inclusão oficial do evento no calendário do município evidencia o compromisso de São Roque com a inovação, ao abraçar uma tendência crescente na cultura automotiva, sem perder de vista suas tradições. Ao valorizar essa iniciativa, a cidade projeta uma imagem moderna e acolhedora, consolidando-se como um destino atrativo tanto para turistas quanto para a comunidade local.</w:t>
      </w:r>
    </w:p>
    <w:p w14:paraId="0C13F62E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607499C7" w14:textId="5066E6C8" w:rsidR="00C03AC5" w:rsidRDefault="00000000" w:rsidP="00C03AC5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Diego Gouveia da Costa,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 xml:space="preserve">º CETSR </w:t>
      </w:r>
      <w:r w:rsidR="00C03AC5">
        <w:rPr>
          <w:rFonts w:ascii="Arial" w:hAnsi="Arial" w:cs="Arial"/>
          <w:sz w:val="24"/>
          <w:szCs w:val="24"/>
        </w:rPr>
        <w:t>27</w:t>
      </w:r>
      <w:r w:rsidRPr="00796A4F">
        <w:rPr>
          <w:rFonts w:ascii="Arial" w:hAnsi="Arial" w:cs="Arial"/>
          <w:sz w:val="24"/>
          <w:szCs w:val="24"/>
        </w:rPr>
        <w:t xml:space="preserve">/09/2024 - </w:t>
      </w:r>
      <w:r w:rsidR="00C03AC5">
        <w:rPr>
          <w:rFonts w:ascii="Arial" w:hAnsi="Arial" w:cs="Arial"/>
          <w:sz w:val="24"/>
          <w:szCs w:val="24"/>
        </w:rPr>
        <w:t>11</w:t>
      </w:r>
      <w:r w:rsidRPr="00796A4F">
        <w:rPr>
          <w:rFonts w:ascii="Arial" w:hAnsi="Arial" w:cs="Arial"/>
          <w:sz w:val="24"/>
          <w:szCs w:val="24"/>
        </w:rPr>
        <w:t>:</w:t>
      </w:r>
      <w:r w:rsidR="00C03AC5">
        <w:rPr>
          <w:rFonts w:ascii="Arial" w:hAnsi="Arial" w:cs="Arial"/>
          <w:sz w:val="24"/>
          <w:szCs w:val="24"/>
        </w:rPr>
        <w:t>26</w:t>
      </w:r>
      <w:r w:rsidRPr="00796A4F">
        <w:rPr>
          <w:rFonts w:ascii="Arial" w:hAnsi="Arial" w:cs="Arial"/>
          <w:sz w:val="24"/>
          <w:szCs w:val="24"/>
        </w:rPr>
        <w:t xml:space="preserve"> </w:t>
      </w:r>
      <w:r w:rsidR="00C03AC5">
        <w:rPr>
          <w:rFonts w:ascii="Arial" w:hAnsi="Arial" w:cs="Arial"/>
          <w:sz w:val="24"/>
          <w:szCs w:val="24"/>
        </w:rPr>
        <w:t>12158</w:t>
      </w:r>
      <w:r w:rsidRPr="00796A4F">
        <w:rPr>
          <w:rFonts w:ascii="Arial" w:hAnsi="Arial" w:cs="Arial"/>
          <w:sz w:val="24"/>
          <w:szCs w:val="24"/>
        </w:rPr>
        <w:t xml:space="preserve">/2024, de </w:t>
      </w:r>
      <w:r w:rsidR="00C03AC5">
        <w:rPr>
          <w:rFonts w:ascii="Arial" w:hAnsi="Arial" w:cs="Arial"/>
          <w:sz w:val="24"/>
          <w:szCs w:val="24"/>
        </w:rPr>
        <w:t>27</w:t>
      </w:r>
      <w:r w:rsidRPr="00796A4F">
        <w:rPr>
          <w:rFonts w:ascii="Arial" w:hAnsi="Arial" w:cs="Arial"/>
          <w:sz w:val="24"/>
          <w:szCs w:val="24"/>
        </w:rPr>
        <w:t xml:space="preserve"> de setembro de 2024, apresenta ao Egrégio Plenário o seguinte Projeto de Lei:</w:t>
      </w:r>
    </w:p>
    <w:p w14:paraId="4B920DDC" w14:textId="77777777" w:rsidR="00C03AC5" w:rsidRDefault="00C03AC5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</w:p>
    <w:p w14:paraId="27058AE4" w14:textId="77777777" w:rsidR="00C03AC5" w:rsidRDefault="00C03AC5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</w:p>
    <w:p w14:paraId="1D11F558" w14:textId="243E2EE6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C03AC5"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8</w:t>
      </w:r>
      <w:r w:rsidR="00431AAE">
        <w:rPr>
          <w:rFonts w:ascii="Arial" w:hAnsi="Arial" w:cs="Arial"/>
          <w:sz w:val="24"/>
          <w:szCs w:val="24"/>
        </w:rPr>
        <w:t>9</w:t>
      </w:r>
      <w:r w:rsidRPr="00796A4F">
        <w:rPr>
          <w:rFonts w:ascii="Arial" w:hAnsi="Arial" w:cs="Arial"/>
          <w:sz w:val="24"/>
          <w:szCs w:val="24"/>
        </w:rPr>
        <w:t>/2024-L</w:t>
      </w:r>
    </w:p>
    <w:p w14:paraId="54FDECB0" w14:textId="38F1008E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 xml:space="preserve">De </w:t>
      </w:r>
      <w:r w:rsidR="00431AAE">
        <w:rPr>
          <w:rFonts w:ascii="Arial" w:hAnsi="Arial" w:cs="Arial"/>
        </w:rPr>
        <w:t>27</w:t>
      </w:r>
      <w:r w:rsidRPr="00796A4F">
        <w:rPr>
          <w:rFonts w:ascii="Arial" w:hAnsi="Arial" w:cs="Arial"/>
        </w:rPr>
        <w:t xml:space="preserve"> de setembro de 2024.</w:t>
      </w:r>
    </w:p>
    <w:p w14:paraId="2C6DECDD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1024945C" w14:textId="5B939AEC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 xml:space="preserve">Insere, no Calendário Oficial de Eventos da Estância Turística de São Roque, o Encontro de Carros </w:t>
      </w:r>
      <w:r w:rsidR="009D7875">
        <w:rPr>
          <w:rFonts w:ascii="Arial" w:hAnsi="Arial" w:cs="Arial"/>
          <w:b/>
          <w:bCs/>
          <w:i/>
          <w:iCs/>
        </w:rPr>
        <w:t>“</w:t>
      </w:r>
      <w:r w:rsidR="00C03AC5">
        <w:rPr>
          <w:rFonts w:ascii="Arial" w:hAnsi="Arial" w:cs="Arial"/>
          <w:b/>
          <w:bCs/>
          <w:i/>
          <w:iCs/>
        </w:rPr>
        <w:t>Noites</w:t>
      </w:r>
      <w:r w:rsidRPr="00796A4F">
        <w:rPr>
          <w:rFonts w:ascii="Arial" w:hAnsi="Arial" w:cs="Arial"/>
          <w:b/>
          <w:bCs/>
          <w:i/>
          <w:iCs/>
        </w:rPr>
        <w:t xml:space="preserve"> dos Baixos</w:t>
      </w:r>
      <w:r w:rsidR="009D7875">
        <w:rPr>
          <w:rFonts w:ascii="Arial" w:hAnsi="Arial" w:cs="Arial"/>
          <w:b/>
          <w:bCs/>
          <w:i/>
          <w:iCs/>
        </w:rPr>
        <w:t>”</w:t>
      </w:r>
      <w:r w:rsidRPr="00796A4F">
        <w:rPr>
          <w:rFonts w:ascii="Arial" w:hAnsi="Arial" w:cs="Arial"/>
          <w:b/>
          <w:bCs/>
          <w:i/>
          <w:iCs/>
        </w:rPr>
        <w:t>.</w:t>
      </w:r>
    </w:p>
    <w:p w14:paraId="665C3821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7AE2385B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5398EA40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2C5F885F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67FF664C" w14:textId="77777777" w:rsidR="00BC5DD4" w:rsidRPr="00796A4F" w:rsidRDefault="00BC5DD4" w:rsidP="00796A4F">
      <w:pPr>
        <w:pStyle w:val="Corpodetexto"/>
        <w:ind w:right="44"/>
        <w:rPr>
          <w:rFonts w:cs="Arial"/>
          <w:szCs w:val="24"/>
        </w:rPr>
      </w:pPr>
    </w:p>
    <w:p w14:paraId="4C045DE1" w14:textId="03F4F085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1º</w:t>
      </w:r>
      <w:r w:rsidR="00796A4F">
        <w:rPr>
          <w:rFonts w:ascii="Arial" w:hAnsi="Arial" w:cs="Arial"/>
        </w:rPr>
        <w:t xml:space="preserve"> </w:t>
      </w:r>
      <w:r w:rsidR="009D7875" w:rsidRPr="009D7875">
        <w:rPr>
          <w:rFonts w:ascii="Arial" w:hAnsi="Arial" w:cs="Arial"/>
        </w:rPr>
        <w:t xml:space="preserve">Fica inserido, no Calendário Oficial da Estância Turística de São Roque, o </w:t>
      </w:r>
      <w:r w:rsidR="009D7875">
        <w:rPr>
          <w:rFonts w:ascii="Arial" w:hAnsi="Arial" w:cs="Arial"/>
        </w:rPr>
        <w:t>Encontro de Carros “</w:t>
      </w:r>
      <w:r w:rsidR="00C03AC5">
        <w:rPr>
          <w:rFonts w:ascii="Arial" w:hAnsi="Arial" w:cs="Arial"/>
        </w:rPr>
        <w:t>Noites</w:t>
      </w:r>
      <w:r w:rsidR="009D7875">
        <w:rPr>
          <w:rFonts w:ascii="Arial" w:hAnsi="Arial" w:cs="Arial"/>
        </w:rPr>
        <w:t xml:space="preserve"> do</w:t>
      </w:r>
      <w:r w:rsidR="009D7875" w:rsidRPr="009D7875">
        <w:rPr>
          <w:rFonts w:ascii="Arial" w:hAnsi="Arial" w:cs="Arial"/>
        </w:rPr>
        <w:t>s</w:t>
      </w:r>
      <w:r w:rsidR="009D7875">
        <w:rPr>
          <w:rFonts w:ascii="Arial" w:hAnsi="Arial" w:cs="Arial"/>
        </w:rPr>
        <w:t xml:space="preserve"> Baixos</w:t>
      </w:r>
      <w:r w:rsidR="009D7875" w:rsidRPr="009D7875">
        <w:rPr>
          <w:rFonts w:ascii="Arial" w:hAnsi="Arial" w:cs="Arial"/>
        </w:rPr>
        <w:t xml:space="preserve">”, </w:t>
      </w:r>
      <w:r w:rsidR="009D7875">
        <w:rPr>
          <w:rFonts w:ascii="Arial" w:hAnsi="Arial" w:cs="Arial"/>
        </w:rPr>
        <w:t>com realização mensal</w:t>
      </w:r>
      <w:r w:rsidR="002A5909">
        <w:rPr>
          <w:rFonts w:ascii="Arial" w:hAnsi="Arial" w:cs="Arial"/>
        </w:rPr>
        <w:t>.</w:t>
      </w:r>
    </w:p>
    <w:p w14:paraId="5E926CA2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25E7245" w14:textId="7B143AE8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2º</w:t>
      </w:r>
      <w:r w:rsidR="00796A4F">
        <w:rPr>
          <w:rFonts w:ascii="Arial" w:hAnsi="Arial" w:cs="Arial"/>
          <w:b/>
          <w:bCs/>
        </w:rPr>
        <w:t> </w:t>
      </w:r>
      <w:r w:rsidR="009D7875" w:rsidRPr="009D7875">
        <w:rPr>
          <w:rFonts w:ascii="Arial" w:hAnsi="Arial" w:cs="Arial"/>
        </w:rPr>
        <w:t xml:space="preserve">O evento </w:t>
      </w:r>
      <w:r w:rsidR="009D7875">
        <w:rPr>
          <w:rFonts w:ascii="Arial" w:hAnsi="Arial" w:cs="Arial"/>
        </w:rPr>
        <w:t xml:space="preserve">em questão </w:t>
      </w:r>
      <w:r w:rsidR="009D7875" w:rsidRPr="009D7875">
        <w:rPr>
          <w:rFonts w:ascii="Arial" w:hAnsi="Arial" w:cs="Arial"/>
        </w:rPr>
        <w:t>passa a integrar o Calendário Oficial de Eventos do Município, criado pela Lei Municipal nº 3.577, de 25 de fevereiro de 2011.</w:t>
      </w:r>
    </w:p>
    <w:p w14:paraId="6C529EB9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8A0215C" w14:textId="77777777" w:rsidR="00BC5DD4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3º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</w:rPr>
        <w:t>As despesas decorrentes com a execução desta Lei correrão por conta de dotação própria do orçamento vigente, suplementada se necessário.</w:t>
      </w:r>
    </w:p>
    <w:p w14:paraId="722C8D87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323E5C58" w14:textId="77777777" w:rsidR="00502485" w:rsidRPr="00796A4F" w:rsidRDefault="00000000" w:rsidP="00796A4F">
      <w:pPr>
        <w:ind w:right="45" w:firstLine="3420"/>
        <w:jc w:val="both"/>
        <w:rPr>
          <w:rFonts w:ascii="Arial" w:hAnsi="Arial" w:cs="Arial"/>
        </w:rPr>
      </w:pPr>
      <w:r w:rsidRPr="00796A4F">
        <w:rPr>
          <w:rFonts w:ascii="Arial" w:hAnsi="Arial" w:cs="Arial"/>
          <w:b/>
          <w:bCs/>
        </w:rPr>
        <w:t>Art.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  <w:b/>
          <w:bCs/>
        </w:rPr>
        <w:t>4º</w:t>
      </w:r>
      <w:r w:rsidR="00796A4F">
        <w:rPr>
          <w:rFonts w:ascii="Arial" w:hAnsi="Arial" w:cs="Arial"/>
          <w:b/>
          <w:bCs/>
        </w:rPr>
        <w:t> </w:t>
      </w:r>
      <w:r w:rsidRPr="00796A4F">
        <w:rPr>
          <w:rFonts w:ascii="Arial" w:hAnsi="Arial" w:cs="Arial"/>
        </w:rPr>
        <w:t>Esta Lei entra em vigor na data de sua publicação.</w:t>
      </w:r>
    </w:p>
    <w:p w14:paraId="1D696FD1" w14:textId="77777777" w:rsidR="00502485" w:rsidRPr="00796A4F" w:rsidRDefault="00502485" w:rsidP="00796A4F">
      <w:pPr>
        <w:ind w:right="45" w:firstLine="3420"/>
        <w:jc w:val="both"/>
        <w:rPr>
          <w:rFonts w:ascii="Arial" w:hAnsi="Arial" w:cs="Arial"/>
        </w:rPr>
      </w:pPr>
    </w:p>
    <w:p w14:paraId="70F36237" w14:textId="77777777" w:rsidR="00BC5DD4" w:rsidRPr="00796A4F" w:rsidRDefault="00000000" w:rsidP="00796A4F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10 de setembro de 2024.</w:t>
      </w:r>
    </w:p>
    <w:p w14:paraId="440BC826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130A3080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08F3580C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7A858B03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Diego Gouveia da Costa</w:t>
      </w:r>
    </w:p>
    <w:p w14:paraId="7032FD4E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(Diego Costa)</w:t>
      </w:r>
    </w:p>
    <w:p w14:paraId="6F2C860E" w14:textId="77777777" w:rsidR="005E41BC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</w:p>
    <w:p w14:paraId="0B9C618A" w14:textId="77777777" w:rsidR="009D7875" w:rsidRPr="009D7875" w:rsidRDefault="009D7875" w:rsidP="009D7875">
      <w:pPr>
        <w:rPr>
          <w:rFonts w:ascii="Arial" w:hAnsi="Arial" w:cs="Arial"/>
        </w:rPr>
      </w:pPr>
    </w:p>
    <w:p w14:paraId="59BF52FA" w14:textId="77777777" w:rsidR="009D7875" w:rsidRPr="009D7875" w:rsidRDefault="009D7875" w:rsidP="009D7875">
      <w:pPr>
        <w:rPr>
          <w:rFonts w:ascii="Arial" w:hAnsi="Arial" w:cs="Arial"/>
        </w:rPr>
      </w:pPr>
    </w:p>
    <w:p w14:paraId="58B40B1A" w14:textId="77777777" w:rsidR="009D7875" w:rsidRPr="009D7875" w:rsidRDefault="009D7875" w:rsidP="009D7875">
      <w:pPr>
        <w:rPr>
          <w:rFonts w:ascii="Arial" w:hAnsi="Arial" w:cs="Arial"/>
        </w:rPr>
      </w:pPr>
    </w:p>
    <w:p w14:paraId="34A0B592" w14:textId="77777777" w:rsidR="009D7875" w:rsidRPr="009D7875" w:rsidRDefault="009D7875" w:rsidP="009D7875">
      <w:pPr>
        <w:rPr>
          <w:rFonts w:ascii="Arial" w:hAnsi="Arial" w:cs="Arial"/>
        </w:rPr>
      </w:pPr>
    </w:p>
    <w:p w14:paraId="1E74183A" w14:textId="77777777" w:rsidR="009D7875" w:rsidRPr="009D7875" w:rsidRDefault="009D7875" w:rsidP="009D7875">
      <w:pPr>
        <w:rPr>
          <w:rFonts w:ascii="Arial" w:hAnsi="Arial" w:cs="Arial"/>
        </w:rPr>
      </w:pPr>
    </w:p>
    <w:p w14:paraId="27FF5D1E" w14:textId="77777777" w:rsidR="009D7875" w:rsidRPr="009D7875" w:rsidRDefault="009D7875" w:rsidP="009D7875">
      <w:pPr>
        <w:rPr>
          <w:rFonts w:ascii="Arial" w:hAnsi="Arial" w:cs="Arial"/>
        </w:rPr>
      </w:pPr>
    </w:p>
    <w:p w14:paraId="512B9552" w14:textId="77777777" w:rsidR="009D7875" w:rsidRPr="009D7875" w:rsidRDefault="009D7875" w:rsidP="009D7875">
      <w:pPr>
        <w:rPr>
          <w:rFonts w:ascii="Arial" w:hAnsi="Arial" w:cs="Arial"/>
        </w:rPr>
      </w:pPr>
    </w:p>
    <w:p w14:paraId="42AE9AC8" w14:textId="77777777" w:rsidR="009D7875" w:rsidRPr="009D7875" w:rsidRDefault="009D7875" w:rsidP="009D7875">
      <w:pPr>
        <w:rPr>
          <w:rFonts w:ascii="Arial" w:hAnsi="Arial" w:cs="Arial"/>
        </w:rPr>
      </w:pPr>
    </w:p>
    <w:p w14:paraId="7AF6EC96" w14:textId="77777777" w:rsidR="009D7875" w:rsidRPr="009D7875" w:rsidRDefault="009D7875" w:rsidP="009D7875">
      <w:pPr>
        <w:rPr>
          <w:rFonts w:ascii="Arial" w:hAnsi="Arial" w:cs="Arial"/>
        </w:rPr>
      </w:pPr>
    </w:p>
    <w:p w14:paraId="24B2B9E6" w14:textId="77777777" w:rsidR="009D7875" w:rsidRPr="009D7875" w:rsidRDefault="009D7875" w:rsidP="009D7875">
      <w:pPr>
        <w:jc w:val="right"/>
        <w:rPr>
          <w:rFonts w:ascii="Arial" w:hAnsi="Arial" w:cs="Arial"/>
        </w:rPr>
      </w:pPr>
    </w:p>
    <w:sectPr w:rsidR="009D7875" w:rsidRPr="009D7875" w:rsidSect="00306607">
      <w:headerReference w:type="default" r:id="rId7"/>
      <w:footerReference w:type="even" r:id="rId8"/>
      <w:footerReference w:type="default" r:id="rId9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3962" w14:textId="77777777" w:rsidR="00856C25" w:rsidRDefault="00856C25">
      <w:r>
        <w:separator/>
      </w:r>
    </w:p>
  </w:endnote>
  <w:endnote w:type="continuationSeparator" w:id="0">
    <w:p w14:paraId="336FD5BA" w14:textId="77777777" w:rsidR="00856C25" w:rsidRDefault="0085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B06A7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5B8B1A7F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91974" w14:textId="69A9B590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 xml:space="preserve">PROTOCOLO Nº CETSR </w:t>
    </w:r>
    <w:r w:rsidR="00C03AC5">
      <w:rPr>
        <w:rFonts w:ascii="Arial" w:hAnsi="Arial" w:cs="Arial"/>
        <w:b/>
        <w:bCs/>
        <w:sz w:val="16"/>
        <w:szCs w:val="16"/>
      </w:rPr>
      <w:t>27</w:t>
    </w:r>
    <w:r w:rsidRPr="00442D55">
      <w:rPr>
        <w:rFonts w:ascii="Arial" w:hAnsi="Arial" w:cs="Arial"/>
        <w:b/>
        <w:bCs/>
        <w:sz w:val="16"/>
        <w:szCs w:val="16"/>
      </w:rPr>
      <w:t xml:space="preserve">/09/2024 - </w:t>
    </w:r>
    <w:r w:rsidR="00C03AC5">
      <w:rPr>
        <w:rFonts w:ascii="Arial" w:hAnsi="Arial" w:cs="Arial"/>
        <w:b/>
        <w:bCs/>
        <w:sz w:val="16"/>
        <w:szCs w:val="16"/>
      </w:rPr>
      <w:t>11</w:t>
    </w:r>
    <w:r w:rsidRPr="00442D55">
      <w:rPr>
        <w:rFonts w:ascii="Arial" w:hAnsi="Arial" w:cs="Arial"/>
        <w:b/>
        <w:bCs/>
        <w:sz w:val="16"/>
        <w:szCs w:val="16"/>
      </w:rPr>
      <w:t>:</w:t>
    </w:r>
    <w:r w:rsidR="00C03AC5">
      <w:rPr>
        <w:rFonts w:ascii="Arial" w:hAnsi="Arial" w:cs="Arial"/>
        <w:b/>
        <w:bCs/>
        <w:sz w:val="16"/>
        <w:szCs w:val="16"/>
      </w:rPr>
      <w:t>26</w:t>
    </w:r>
    <w:r w:rsidRPr="00442D55">
      <w:rPr>
        <w:rFonts w:ascii="Arial" w:hAnsi="Arial" w:cs="Arial"/>
        <w:b/>
        <w:bCs/>
        <w:sz w:val="16"/>
        <w:szCs w:val="16"/>
      </w:rPr>
      <w:t xml:space="preserve"> </w:t>
    </w:r>
    <w:r w:rsidR="00C03AC5">
      <w:rPr>
        <w:rFonts w:ascii="Arial" w:hAnsi="Arial" w:cs="Arial"/>
        <w:b/>
        <w:bCs/>
        <w:sz w:val="16"/>
        <w:szCs w:val="16"/>
      </w:rPr>
      <w:t>12158</w:t>
    </w:r>
    <w:r w:rsidRPr="00442D55">
      <w:rPr>
        <w:rFonts w:ascii="Arial" w:hAnsi="Arial" w:cs="Arial"/>
        <w:b/>
        <w:bCs/>
        <w:sz w:val="16"/>
        <w:szCs w:val="16"/>
      </w:rPr>
      <w:t>/2024</w:t>
    </w:r>
    <w:r w:rsidR="009D7875">
      <w:rPr>
        <w:rFonts w:ascii="Arial" w:hAnsi="Arial" w:cs="Arial"/>
        <w:b/>
        <w:bCs/>
        <w:sz w:val="16"/>
        <w:szCs w:val="16"/>
      </w:rPr>
      <w:t>/AO</w:t>
    </w:r>
  </w:p>
  <w:p w14:paraId="60123495" w14:textId="77777777" w:rsidR="00BC5DD4" w:rsidRPr="009D7875" w:rsidRDefault="00000000" w:rsidP="00BC5DD4">
    <w:pPr>
      <w:pStyle w:val="Rodap"/>
      <w:framePr w:wrap="around" w:vAnchor="text" w:hAnchor="page" w:x="10696" w:y="48"/>
      <w:rPr>
        <w:rStyle w:val="Nmerodepgina"/>
        <w:rFonts w:ascii="Arial" w:hAnsi="Arial" w:cs="Arial"/>
        <w:sz w:val="16"/>
        <w:szCs w:val="16"/>
      </w:rPr>
    </w:pPr>
    <w:r w:rsidRPr="009D7875">
      <w:rPr>
        <w:rStyle w:val="Nmerodepgina"/>
        <w:rFonts w:ascii="Arial" w:hAnsi="Arial" w:cs="Arial"/>
        <w:sz w:val="16"/>
        <w:szCs w:val="16"/>
      </w:rPr>
      <w:fldChar w:fldCharType="begin"/>
    </w:r>
    <w:r w:rsidRPr="009D7875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9D7875">
      <w:rPr>
        <w:rStyle w:val="Nmerodepgina"/>
        <w:rFonts w:ascii="Arial" w:hAnsi="Arial" w:cs="Arial"/>
        <w:sz w:val="16"/>
        <w:szCs w:val="16"/>
      </w:rPr>
      <w:fldChar w:fldCharType="separate"/>
    </w:r>
    <w:r w:rsidRPr="009D7875">
      <w:rPr>
        <w:rStyle w:val="Nmerodepgina"/>
        <w:rFonts w:ascii="Arial" w:hAnsi="Arial" w:cs="Arial"/>
        <w:noProof/>
        <w:sz w:val="16"/>
        <w:szCs w:val="16"/>
      </w:rPr>
      <w:t>1</w:t>
    </w:r>
    <w:r w:rsidRPr="009D7875">
      <w:rPr>
        <w:rStyle w:val="Nmerodepgina"/>
        <w:rFonts w:ascii="Arial" w:hAnsi="Arial" w:cs="Arial"/>
        <w:sz w:val="16"/>
        <w:szCs w:val="16"/>
      </w:rPr>
      <w:fldChar w:fldCharType="end"/>
    </w:r>
  </w:p>
  <w:p w14:paraId="357826E0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3CF1" w14:textId="77777777" w:rsidR="00856C25" w:rsidRDefault="00856C25">
      <w:r>
        <w:separator/>
      </w:r>
    </w:p>
  </w:footnote>
  <w:footnote w:type="continuationSeparator" w:id="0">
    <w:p w14:paraId="5D61EE75" w14:textId="77777777" w:rsidR="00856C25" w:rsidRDefault="00856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1F997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722BE04" wp14:editId="4AE07A1E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4061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8D10BB8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26BB60F8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D83DCBC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46B825E9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 w:rsidR="00FA41E9"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2193412D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2938138C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639E3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B60A0E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C0FC1DF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5600942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2B107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C0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E8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BB16A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D0B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D542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DFC1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A1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2B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84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6E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AA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47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D639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3D266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DBEC8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CAD0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47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CB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5AE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EB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E9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C5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FC3E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ACE75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CE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AB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4C3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CE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40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EF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8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93C2F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66AC4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0D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29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E6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C4B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C8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70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874E3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7BA2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702A5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E24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D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AD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8D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D26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AB3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09A098A4">
      <w:start w:val="1"/>
      <w:numFmt w:val="decimal"/>
      <w:lvlText w:val="%1."/>
      <w:lvlJc w:val="left"/>
      <w:pPr>
        <w:ind w:left="540" w:hanging="360"/>
      </w:pPr>
    </w:lvl>
    <w:lvl w:ilvl="1" w:tplc="419EA5EA" w:tentative="1">
      <w:start w:val="1"/>
      <w:numFmt w:val="lowerLetter"/>
      <w:lvlText w:val="%2."/>
      <w:lvlJc w:val="left"/>
      <w:pPr>
        <w:ind w:left="1260" w:hanging="360"/>
      </w:pPr>
    </w:lvl>
    <w:lvl w:ilvl="2" w:tplc="8C88BA3E" w:tentative="1">
      <w:start w:val="1"/>
      <w:numFmt w:val="lowerRoman"/>
      <w:lvlText w:val="%3."/>
      <w:lvlJc w:val="right"/>
      <w:pPr>
        <w:ind w:left="1980" w:hanging="180"/>
      </w:pPr>
    </w:lvl>
    <w:lvl w:ilvl="3" w:tplc="88DCBF90" w:tentative="1">
      <w:start w:val="1"/>
      <w:numFmt w:val="decimal"/>
      <w:lvlText w:val="%4."/>
      <w:lvlJc w:val="left"/>
      <w:pPr>
        <w:ind w:left="2700" w:hanging="360"/>
      </w:pPr>
    </w:lvl>
    <w:lvl w:ilvl="4" w:tplc="6DE08A56" w:tentative="1">
      <w:start w:val="1"/>
      <w:numFmt w:val="lowerLetter"/>
      <w:lvlText w:val="%5."/>
      <w:lvlJc w:val="left"/>
      <w:pPr>
        <w:ind w:left="3420" w:hanging="360"/>
      </w:pPr>
    </w:lvl>
    <w:lvl w:ilvl="5" w:tplc="6A0CCBC0" w:tentative="1">
      <w:start w:val="1"/>
      <w:numFmt w:val="lowerRoman"/>
      <w:lvlText w:val="%6."/>
      <w:lvlJc w:val="right"/>
      <w:pPr>
        <w:ind w:left="4140" w:hanging="180"/>
      </w:pPr>
    </w:lvl>
    <w:lvl w:ilvl="6" w:tplc="FEACAC70" w:tentative="1">
      <w:start w:val="1"/>
      <w:numFmt w:val="decimal"/>
      <w:lvlText w:val="%7."/>
      <w:lvlJc w:val="left"/>
      <w:pPr>
        <w:ind w:left="4860" w:hanging="360"/>
      </w:pPr>
    </w:lvl>
    <w:lvl w:ilvl="7" w:tplc="ED30E2AA" w:tentative="1">
      <w:start w:val="1"/>
      <w:numFmt w:val="lowerLetter"/>
      <w:lvlText w:val="%8."/>
      <w:lvlJc w:val="left"/>
      <w:pPr>
        <w:ind w:left="5580" w:hanging="360"/>
      </w:pPr>
    </w:lvl>
    <w:lvl w:ilvl="8" w:tplc="0F5EDFB2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51072267">
    <w:abstractNumId w:val="0"/>
  </w:num>
  <w:num w:numId="2" w16cid:durableId="1533375513">
    <w:abstractNumId w:val="5"/>
  </w:num>
  <w:num w:numId="3" w16cid:durableId="943613770">
    <w:abstractNumId w:val="4"/>
  </w:num>
  <w:num w:numId="4" w16cid:durableId="1686247799">
    <w:abstractNumId w:val="2"/>
  </w:num>
  <w:num w:numId="5" w16cid:durableId="997534913">
    <w:abstractNumId w:val="1"/>
  </w:num>
  <w:num w:numId="6" w16cid:durableId="550533520">
    <w:abstractNumId w:val="3"/>
  </w:num>
  <w:num w:numId="7" w16cid:durableId="1752433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0047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42223"/>
    <w:rsid w:val="0025123A"/>
    <w:rsid w:val="002565CD"/>
    <w:rsid w:val="00257397"/>
    <w:rsid w:val="00265D5A"/>
    <w:rsid w:val="00292F9C"/>
    <w:rsid w:val="002A27B9"/>
    <w:rsid w:val="002A5909"/>
    <w:rsid w:val="002D3820"/>
    <w:rsid w:val="002D6FA8"/>
    <w:rsid w:val="00306607"/>
    <w:rsid w:val="0031684E"/>
    <w:rsid w:val="0032121E"/>
    <w:rsid w:val="00333E46"/>
    <w:rsid w:val="0035159A"/>
    <w:rsid w:val="00374B19"/>
    <w:rsid w:val="003866D1"/>
    <w:rsid w:val="00395486"/>
    <w:rsid w:val="003A21AD"/>
    <w:rsid w:val="003B58D8"/>
    <w:rsid w:val="003D00BC"/>
    <w:rsid w:val="00420DF9"/>
    <w:rsid w:val="00423E3E"/>
    <w:rsid w:val="00431AAE"/>
    <w:rsid w:val="00442D55"/>
    <w:rsid w:val="00442E45"/>
    <w:rsid w:val="0045101D"/>
    <w:rsid w:val="00454980"/>
    <w:rsid w:val="00470D21"/>
    <w:rsid w:val="00491212"/>
    <w:rsid w:val="0049671F"/>
    <w:rsid w:val="004C2928"/>
    <w:rsid w:val="004E1E9B"/>
    <w:rsid w:val="00502485"/>
    <w:rsid w:val="00536770"/>
    <w:rsid w:val="00574109"/>
    <w:rsid w:val="005A17F1"/>
    <w:rsid w:val="005A3D53"/>
    <w:rsid w:val="005C7B4D"/>
    <w:rsid w:val="005E41BC"/>
    <w:rsid w:val="005E6753"/>
    <w:rsid w:val="005F02DF"/>
    <w:rsid w:val="00603B6B"/>
    <w:rsid w:val="00626060"/>
    <w:rsid w:val="00654098"/>
    <w:rsid w:val="0067739F"/>
    <w:rsid w:val="006B3C7D"/>
    <w:rsid w:val="006C5348"/>
    <w:rsid w:val="006E0AFB"/>
    <w:rsid w:val="006E28D2"/>
    <w:rsid w:val="006E6BB1"/>
    <w:rsid w:val="007042A6"/>
    <w:rsid w:val="00762421"/>
    <w:rsid w:val="00793FAA"/>
    <w:rsid w:val="00796A4F"/>
    <w:rsid w:val="007B6296"/>
    <w:rsid w:val="00817A80"/>
    <w:rsid w:val="00843AB3"/>
    <w:rsid w:val="00853AB1"/>
    <w:rsid w:val="00856C25"/>
    <w:rsid w:val="00870AC8"/>
    <w:rsid w:val="0089360F"/>
    <w:rsid w:val="008A186F"/>
    <w:rsid w:val="008C1681"/>
    <w:rsid w:val="00916689"/>
    <w:rsid w:val="00940EAB"/>
    <w:rsid w:val="009602D5"/>
    <w:rsid w:val="009801E3"/>
    <w:rsid w:val="009D7875"/>
    <w:rsid w:val="00A03326"/>
    <w:rsid w:val="00A113EF"/>
    <w:rsid w:val="00A21915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74AEE"/>
    <w:rsid w:val="00B854B9"/>
    <w:rsid w:val="00BA298C"/>
    <w:rsid w:val="00BC5DD4"/>
    <w:rsid w:val="00BD6147"/>
    <w:rsid w:val="00BF52B6"/>
    <w:rsid w:val="00C03AC5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45147"/>
    <w:rsid w:val="00E506EF"/>
    <w:rsid w:val="00ED6AC3"/>
    <w:rsid w:val="00EE74E7"/>
    <w:rsid w:val="00EF0F68"/>
    <w:rsid w:val="00F14B57"/>
    <w:rsid w:val="00F27374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BB490"/>
  <w15:chartTrackingRefBased/>
  <w15:docId w15:val="{C9197992-BF16-48A5-9B6F-9066A6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Câmara Municipal da Estância Turística de São Roque</cp:lastModifiedBy>
  <cp:revision>12</cp:revision>
  <cp:lastPrinted>2017-05-30T14:49:00Z</cp:lastPrinted>
  <dcterms:created xsi:type="dcterms:W3CDTF">2024-08-01T19:46:00Z</dcterms:created>
  <dcterms:modified xsi:type="dcterms:W3CDTF">2024-10-01T18:52:00Z</dcterms:modified>
</cp:coreProperties>
</file>